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F81ED" w14:textId="77E1AF94" w:rsidR="00321324" w:rsidRDefault="0062561D" w:rsidP="00A75476">
      <w:r w:rsidRPr="009271CF">
        <w:rPr>
          <w:noProof/>
        </w:rPr>
        <w:drawing>
          <wp:anchor distT="0" distB="0" distL="114300" distR="114300" simplePos="0" relativeHeight="251662336" behindDoc="1" locked="0" layoutInCell="1" allowOverlap="1" wp14:anchorId="2AF9C3BC" wp14:editId="7966E97F">
            <wp:simplePos x="0" y="0"/>
            <wp:positionH relativeFrom="column">
              <wp:posOffset>3175</wp:posOffset>
            </wp:positionH>
            <wp:positionV relativeFrom="paragraph">
              <wp:posOffset>244254</wp:posOffset>
            </wp:positionV>
            <wp:extent cx="429260" cy="429260"/>
            <wp:effectExtent l="0" t="0" r="2540" b="2540"/>
            <wp:wrapTight wrapText="bothSides">
              <wp:wrapPolygon edited="0">
                <wp:start x="0" y="0"/>
                <wp:lineTo x="0" y="21089"/>
                <wp:lineTo x="21089" y="21089"/>
                <wp:lineTo x="21089" y="0"/>
                <wp:lineTo x="0" y="0"/>
              </wp:wrapPolygon>
            </wp:wrapTight>
            <wp:docPr id="4" name="Picture 3" descr="Logo&#10;&#10;Description automatically generated">
              <a:extLst xmlns:a="http://schemas.openxmlformats.org/drawingml/2006/main">
                <a:ext uri="{FF2B5EF4-FFF2-40B4-BE49-F238E27FC236}">
                  <a16:creationId xmlns:a16="http://schemas.microsoft.com/office/drawing/2014/main" id="{54FE9C05-E698-83B6-A3BC-3AFEF394CA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10;&#10;Description automatically generated">
                      <a:extLst>
                        <a:ext uri="{FF2B5EF4-FFF2-40B4-BE49-F238E27FC236}">
                          <a16:creationId xmlns:a16="http://schemas.microsoft.com/office/drawing/2014/main" id="{54FE9C05-E698-83B6-A3BC-3AFEF394CA7B}"/>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9260" cy="429260"/>
                    </a:xfrm>
                    <a:prstGeom prst="rect">
                      <a:avLst/>
                    </a:prstGeom>
                  </pic:spPr>
                </pic:pic>
              </a:graphicData>
            </a:graphic>
            <wp14:sizeRelH relativeFrom="page">
              <wp14:pctWidth>0</wp14:pctWidth>
            </wp14:sizeRelH>
            <wp14:sizeRelV relativeFrom="page">
              <wp14:pctHeight>0</wp14:pctHeight>
            </wp14:sizeRelV>
          </wp:anchor>
        </w:drawing>
      </w:r>
      <w:r w:rsidR="008B3086">
        <w:rPr>
          <w:noProof/>
        </w:rPr>
        <mc:AlternateContent>
          <mc:Choice Requires="wps">
            <w:drawing>
              <wp:anchor distT="0" distB="0" distL="114300" distR="114300" simplePos="0" relativeHeight="251659264" behindDoc="0" locked="0" layoutInCell="1" allowOverlap="1" wp14:anchorId="0F86DDCF" wp14:editId="5DF6D8DA">
                <wp:simplePos x="0" y="0"/>
                <wp:positionH relativeFrom="column">
                  <wp:posOffset>3504565</wp:posOffset>
                </wp:positionH>
                <wp:positionV relativeFrom="paragraph">
                  <wp:posOffset>-603250</wp:posOffset>
                </wp:positionV>
                <wp:extent cx="2895600" cy="3994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95600" cy="399415"/>
                        </a:xfrm>
                        <a:prstGeom prst="rect">
                          <a:avLst/>
                        </a:prstGeom>
                        <a:noFill/>
                        <a:ln>
                          <a:noFill/>
                        </a:ln>
                      </wps:spPr>
                      <wps:txbx>
                        <w:txbxContent>
                          <w:p w14:paraId="11519A24" w14:textId="77777777" w:rsidR="00321324" w:rsidRPr="00D636DB" w:rsidRDefault="00321324" w:rsidP="00A754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w:pict>
              <v:shapetype id="_x0000_t202" coordsize="21600,21600" o:spt="202" path="m,l,21600r21600,l21600,xe" w14:anchorId="0F86DDCF">
                <v:stroke joinstyle="miter"/>
                <v:path gradientshapeok="t" o:connecttype="rect"/>
              </v:shapetype>
              <v:shape id="Text Box 1" style="position:absolute;margin-left:275.95pt;margin-top:-47.5pt;width:228pt;height: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">
                <v:textbox>
                  <w:txbxContent>
                    <w:p w:rsidRPr="00D636DB" w:rsidR="00321324" w:rsidP="00A75476" w:rsidRDefault="00321324" w14:paraId="11519A24" w14:textId="77777777"/>
                  </w:txbxContent>
                </v:textbox>
              </v:shape>
            </w:pict>
          </mc:Fallback>
        </mc:AlternateContent>
      </w:r>
    </w:p>
    <w:p w14:paraId="2F2535CF" w14:textId="498AA1A2" w:rsidR="0003666E" w:rsidRPr="0003666E" w:rsidRDefault="00A75476" w:rsidP="0003666E">
      <w:pPr>
        <w:spacing w:line="240" w:lineRule="auto"/>
        <w:rPr>
          <w:rFonts w:ascii="Arial" w:hAnsi="Arial" w:cs="Arial"/>
          <w:b/>
          <w:bCs/>
        </w:rPr>
      </w:pPr>
      <w:r>
        <w:t xml:space="preserve">Benefit Comply </w:t>
      </w:r>
      <w:r>
        <w:br/>
      </w:r>
      <w:r w:rsidRPr="7942D5B6">
        <w:rPr>
          <w:rFonts w:ascii="Arial" w:hAnsi="Arial" w:cs="Arial"/>
          <w:b/>
          <w:bCs/>
        </w:rPr>
        <w:t>Compliance</w:t>
      </w:r>
      <w:r w:rsidR="00833BC7" w:rsidRPr="7942D5B6">
        <w:rPr>
          <w:rFonts w:ascii="Arial" w:hAnsi="Arial" w:cs="Arial"/>
          <w:b/>
          <w:bCs/>
        </w:rPr>
        <w:t xml:space="preserve"> Focus</w:t>
      </w:r>
      <w:r w:rsidRPr="7942D5B6">
        <w:rPr>
          <w:rFonts w:ascii="Arial" w:hAnsi="Arial" w:cs="Arial"/>
          <w:b/>
          <w:bCs/>
        </w:rPr>
        <w:t xml:space="preserve"> </w:t>
      </w:r>
    </w:p>
    <w:p w14:paraId="5F894967" w14:textId="77777777" w:rsidR="00273739" w:rsidRDefault="00273739" w:rsidP="007E58D3">
      <w:pPr>
        <w:pStyle w:val="Heading1"/>
      </w:pPr>
    </w:p>
    <w:p w14:paraId="7BCC9721" w14:textId="3C5754D1" w:rsidR="00090EFE" w:rsidRDefault="0046661A" w:rsidP="7942D5B6">
      <w:pPr>
        <w:pStyle w:val="Heading1"/>
      </w:pPr>
      <w:r>
        <w:t>2024 Affordability Percentage</w:t>
      </w:r>
    </w:p>
    <w:p w14:paraId="15A95561" w14:textId="346E0542" w:rsidR="003C70A3" w:rsidRPr="005B4A75" w:rsidRDefault="003C70A3" w:rsidP="7942D5B6">
      <w:pPr>
        <w:pStyle w:val="Heading1"/>
        <w:rPr>
          <w:rFonts w:ascii="Georgia" w:hAnsi="Georgia"/>
          <w:b/>
          <w:bCs/>
          <w:color w:val="000000" w:themeColor="text1"/>
          <w:sz w:val="20"/>
          <w:szCs w:val="20"/>
        </w:rPr>
      </w:pPr>
      <w:r w:rsidRPr="7942D5B6">
        <w:rPr>
          <w:rStyle w:val="Heading3Char"/>
          <w:rFonts w:eastAsiaTheme="majorEastAsia"/>
        </w:rPr>
        <w:t xml:space="preserve">Date Issued: </w:t>
      </w:r>
      <w:r w:rsidR="001576D6">
        <w:rPr>
          <w:rStyle w:val="Heading3Char"/>
          <w:rFonts w:eastAsiaTheme="majorEastAsia"/>
        </w:rPr>
        <w:t>August 2023</w:t>
      </w:r>
      <w:r w:rsidRPr="7942D5B6">
        <w:rPr>
          <w:rFonts w:ascii="Georgia" w:hAnsi="Georgia"/>
          <w:b/>
          <w:bCs/>
          <w:color w:val="000000" w:themeColor="text1"/>
          <w:sz w:val="20"/>
          <w:szCs w:val="20"/>
        </w:rPr>
        <w:t xml:space="preserve"> </w:t>
      </w:r>
    </w:p>
    <w:p w14:paraId="75A173D4" w14:textId="77777777" w:rsidR="0096788A" w:rsidRDefault="0096788A" w:rsidP="009262CB">
      <w:pPr>
        <w:snapToGrid w:val="0"/>
        <w:spacing w:after="120"/>
        <w:contextualSpacing/>
      </w:pPr>
    </w:p>
    <w:p w14:paraId="3B1C8FE0" w14:textId="08792772" w:rsidR="00F545D5" w:rsidRDefault="00F545D5" w:rsidP="00F545D5">
      <w:pPr>
        <w:snapToGrid w:val="0"/>
        <w:spacing w:after="120"/>
        <w:contextualSpacing/>
      </w:pPr>
      <w:r>
        <w:t>In Revenue Procedure 202</w:t>
      </w:r>
      <w:r w:rsidR="006C533E">
        <w:t>3</w:t>
      </w:r>
      <w:r>
        <w:t>-</w:t>
      </w:r>
      <w:r w:rsidR="006C533E">
        <w:t>29</w:t>
      </w:r>
      <w:r>
        <w:t xml:space="preserve">, the IRS </w:t>
      </w:r>
      <w:r w:rsidR="006C533E">
        <w:t xml:space="preserve">has again </w:t>
      </w:r>
      <w:r>
        <w:t>significantly decreased the affordability percentage from 9.</w:t>
      </w:r>
      <w:r w:rsidR="006C533E">
        <w:t>12</w:t>
      </w:r>
      <w:r>
        <w:t>%</w:t>
      </w:r>
      <w:r w:rsidR="006C533E">
        <w:t xml:space="preserve"> in 2023</w:t>
      </w:r>
      <w:r>
        <w:t xml:space="preserve"> to </w:t>
      </w:r>
      <w:r w:rsidR="006C533E">
        <w:t>8.39</w:t>
      </w:r>
      <w:r>
        <w:t>% for 202</w:t>
      </w:r>
      <w:r w:rsidR="006C533E">
        <w:t>4</w:t>
      </w:r>
      <w:r>
        <w:t xml:space="preserve">. </w:t>
      </w:r>
      <w:r w:rsidR="00F973BF">
        <w:t xml:space="preserve">This is the first time the affordability percentage has ever been below 9%. </w:t>
      </w:r>
      <w:r>
        <w:t>This percentage determines which applicable large employers may face penalties under §4980H(b) for failure to offer affordable coverage as well as which individuals may qualify for subsidized coverage through a public Exchange.</w:t>
      </w:r>
    </w:p>
    <w:p w14:paraId="51C86781" w14:textId="77777777" w:rsidR="00F545D5" w:rsidRDefault="00F545D5" w:rsidP="00F545D5">
      <w:pPr>
        <w:snapToGrid w:val="0"/>
        <w:spacing w:after="120"/>
        <w:contextualSpacing/>
      </w:pPr>
    </w:p>
    <w:p w14:paraId="66FC7C75" w14:textId="43A6FA95" w:rsidR="006F6AD2" w:rsidRDefault="00F545D5" w:rsidP="009262CB">
      <w:pPr>
        <w:snapToGrid w:val="0"/>
        <w:spacing w:after="120"/>
        <w:contextualSpacing/>
      </w:pPr>
      <w:r>
        <w:t>Revenue Procedure 202</w:t>
      </w:r>
      <w:r w:rsidR="00CA7966">
        <w:t>3</w:t>
      </w:r>
      <w:r>
        <w:t>-</w:t>
      </w:r>
      <w:r w:rsidR="00CA7966">
        <w:t>29</w:t>
      </w:r>
      <w:r>
        <w:t xml:space="preserve"> - </w:t>
      </w:r>
      <w:hyperlink r:id="rId11" w:history="1">
        <w:r w:rsidR="00CA7966" w:rsidRPr="00AA493E">
          <w:rPr>
            <w:rStyle w:val="Hyperlink"/>
          </w:rPr>
          <w:t>https://www.irs.gov/pub/irs-drop/rp-23-29.pdf</w:t>
        </w:r>
      </w:hyperlink>
    </w:p>
    <w:p w14:paraId="54D51C48" w14:textId="77777777" w:rsidR="00CA7966" w:rsidRDefault="00CA7966" w:rsidP="009262CB">
      <w:pPr>
        <w:snapToGrid w:val="0"/>
        <w:spacing w:after="120"/>
        <w:contextualSpacing/>
      </w:pPr>
    </w:p>
    <w:p w14:paraId="52F50184" w14:textId="73DB0B02" w:rsidR="006F6AD2" w:rsidRDefault="00655531" w:rsidP="006F6AD2">
      <w:pPr>
        <w:pStyle w:val="Heading2"/>
      </w:pPr>
      <w:r>
        <w:t>Background</w:t>
      </w:r>
    </w:p>
    <w:p w14:paraId="797021FA" w14:textId="768B9949" w:rsidR="003D3045" w:rsidRDefault="003D3045" w:rsidP="003D3045">
      <w:r>
        <w:t>Under §4980H, applicable large employers (50 or more full-time equivalents (FTEs)) must offer coverage to full-time employees that is affordable to avoid potential §4980H(b) penalties. In addition, individuals enrolling for coverage through a public Exchange will not qualify for subsidized coverage (premium tax credits) if they are eligible for employer-sponsored group health plan coverage that is affordable.</w:t>
      </w:r>
    </w:p>
    <w:p w14:paraId="3DBC6EF9" w14:textId="77777777" w:rsidR="00741762" w:rsidRDefault="003D3045" w:rsidP="00E54ABA">
      <w:pPr>
        <w:spacing w:after="0"/>
      </w:pPr>
      <w:r>
        <w:t xml:space="preserve">Coverage is considered “affordable” if the </w:t>
      </w:r>
      <w:r w:rsidR="00C7770C">
        <w:t xml:space="preserve">required </w:t>
      </w:r>
      <w:r>
        <w:t>employee contribution does not exceed a set percentage (</w:t>
      </w:r>
      <w:r w:rsidR="00C7770C">
        <w:t>8.39</w:t>
      </w:r>
      <w:r>
        <w:t>% in 202</w:t>
      </w:r>
      <w:r w:rsidR="00C7770C">
        <w:t>4</w:t>
      </w:r>
      <w:r>
        <w:t xml:space="preserve">) of household income. </w:t>
      </w:r>
    </w:p>
    <w:p w14:paraId="7FFEA0F7" w14:textId="5A1ECEC4" w:rsidR="00741762" w:rsidRDefault="00741762" w:rsidP="00741762">
      <w:pPr>
        <w:pStyle w:val="ListParagraph"/>
        <w:numPr>
          <w:ilvl w:val="0"/>
          <w:numId w:val="33"/>
        </w:numPr>
      </w:pPr>
      <w:r>
        <w:t>For employees, coverage is affordable</w:t>
      </w:r>
      <w:r w:rsidRPr="00741762">
        <w:t xml:space="preserve"> if </w:t>
      </w:r>
      <w:r w:rsidR="00016BD4">
        <w:t xml:space="preserve">the </w:t>
      </w:r>
      <w:r w:rsidR="00AC0179">
        <w:t>required employee contribution</w:t>
      </w:r>
      <w:r w:rsidR="00016BD4">
        <w:t xml:space="preserve"> for</w:t>
      </w:r>
      <w:r w:rsidR="00AC0179">
        <w:t xml:space="preserve"> </w:t>
      </w:r>
      <w:r w:rsidRPr="00741762">
        <w:t xml:space="preserve">the </w:t>
      </w:r>
      <w:r w:rsidR="00AC0179">
        <w:t xml:space="preserve">lowest cost minimum value plan for </w:t>
      </w:r>
      <w:r w:rsidRPr="00741762">
        <w:t>employee-only (single) coverage</w:t>
      </w:r>
      <w:r w:rsidR="00016BD4">
        <w:t xml:space="preserve"> is affordable.</w:t>
      </w:r>
    </w:p>
    <w:p w14:paraId="3BBE6D21" w14:textId="1CBC395E" w:rsidR="003D3045" w:rsidRDefault="00F06968" w:rsidP="00741762">
      <w:pPr>
        <w:pStyle w:val="ListParagraph"/>
        <w:numPr>
          <w:ilvl w:val="0"/>
          <w:numId w:val="33"/>
        </w:numPr>
      </w:pPr>
      <w:r>
        <w:t>For spouses and dependents</w:t>
      </w:r>
      <w:r w:rsidR="00E54ABA">
        <w:t>, coverage is affordable</w:t>
      </w:r>
      <w:r w:rsidR="00E54ABA" w:rsidRPr="00741762">
        <w:t xml:space="preserve"> if </w:t>
      </w:r>
      <w:r w:rsidR="00E54ABA">
        <w:t xml:space="preserve">the required employee contribution for </w:t>
      </w:r>
      <w:r w:rsidR="00E54ABA" w:rsidRPr="00741762">
        <w:t xml:space="preserve">the </w:t>
      </w:r>
      <w:r w:rsidR="00E54ABA">
        <w:t>lowest cost minimum value plan for family</w:t>
      </w:r>
      <w:r w:rsidR="00E54ABA" w:rsidRPr="00741762">
        <w:t xml:space="preserve"> coverage</w:t>
      </w:r>
      <w:r w:rsidR="00E54ABA">
        <w:t xml:space="preserve"> is </w:t>
      </w:r>
      <w:proofErr w:type="gramStart"/>
      <w:r w:rsidR="00E54ABA">
        <w:t>affordable</w:t>
      </w:r>
      <w:proofErr w:type="gramEnd"/>
    </w:p>
    <w:p w14:paraId="0C63841D" w14:textId="1137C2F8" w:rsidR="00D23677" w:rsidRPr="006242BC" w:rsidRDefault="003D3045" w:rsidP="003D3045">
      <w:pPr>
        <w:rPr>
          <w:rFonts w:cs="Arial"/>
        </w:rPr>
      </w:pPr>
      <w:r>
        <w:t xml:space="preserve">Coverage is </w:t>
      </w:r>
      <w:r w:rsidR="00E54ABA">
        <w:t xml:space="preserve">also </w:t>
      </w:r>
      <w:r>
        <w:t>considered “affordable” under §4980H(b) requirements if the employee contribution satisfies at least one of three available safe harbors (i.e., federal poverty level (FPL), rate of pay, or Form W-2).</w:t>
      </w:r>
    </w:p>
    <w:p w14:paraId="405BB586" w14:textId="4186E0A3" w:rsidR="00D23677" w:rsidRDefault="00D23677">
      <w:pPr>
        <w:spacing w:line="259" w:lineRule="auto"/>
        <w:rPr>
          <w:rFonts w:ascii="Arial" w:hAnsi="Arial" w:cs="Arial"/>
          <w:b/>
          <w:bCs/>
          <w:color w:val="0B3AF5" w:themeColor="accent1"/>
          <w:sz w:val="22"/>
          <w:szCs w:val="22"/>
        </w:rPr>
      </w:pPr>
    </w:p>
    <w:p w14:paraId="0DCB1D49" w14:textId="6647D662" w:rsidR="00933912" w:rsidRDefault="00BD14EA" w:rsidP="00BD14EA">
      <w:pPr>
        <w:pStyle w:val="Heading2"/>
      </w:pPr>
      <w:r>
        <w:t>Required Contribution Percentage</w:t>
      </w:r>
      <w:r w:rsidR="00933912" w:rsidRPr="00933912">
        <w:t> </w:t>
      </w:r>
    </w:p>
    <w:p w14:paraId="10D3F91A" w14:textId="2206572A" w:rsidR="00303572" w:rsidRPr="00303572" w:rsidRDefault="00303572" w:rsidP="009B666F">
      <w:r w:rsidRPr="00303572">
        <w:t>Originally, for 2014, the required contribution percentage for determining affordability was set at 9.5%. The percentage is adjusted annually. See applicable percentages for each year in the table below.</w:t>
      </w:r>
    </w:p>
    <w:tbl>
      <w:tblPr>
        <w:tblStyle w:val="GridTable4-Accent1"/>
        <w:tblW w:w="0" w:type="auto"/>
        <w:tblLook w:val="04A0" w:firstRow="1" w:lastRow="0" w:firstColumn="1" w:lastColumn="0" w:noHBand="0" w:noVBand="1"/>
      </w:tblPr>
      <w:tblGrid>
        <w:gridCol w:w="1800"/>
        <w:gridCol w:w="784"/>
        <w:gridCol w:w="810"/>
        <w:gridCol w:w="810"/>
        <w:gridCol w:w="810"/>
        <w:gridCol w:w="810"/>
        <w:gridCol w:w="810"/>
        <w:gridCol w:w="810"/>
        <w:gridCol w:w="810"/>
        <w:gridCol w:w="810"/>
        <w:gridCol w:w="810"/>
      </w:tblGrid>
      <w:tr w:rsidR="00F973BF" w:rsidRPr="00303572" w14:paraId="7C241731" w14:textId="7F67F0BE" w:rsidTr="005249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vMerge w:val="restart"/>
            <w:hideMark/>
          </w:tcPr>
          <w:p w14:paraId="2F082573" w14:textId="77777777" w:rsidR="00F973BF" w:rsidRPr="00303572" w:rsidRDefault="00F973BF" w:rsidP="00303572">
            <w:pPr>
              <w:rPr>
                <w:color w:val="FFFFFF" w:themeColor="background1"/>
              </w:rPr>
            </w:pPr>
            <w:r w:rsidRPr="00303572">
              <w:rPr>
                <w:color w:val="FFFFFF" w:themeColor="background1"/>
              </w:rPr>
              <w:t>Affordability Percentage</w:t>
            </w:r>
          </w:p>
        </w:tc>
        <w:tc>
          <w:tcPr>
            <w:tcW w:w="784" w:type="dxa"/>
            <w:hideMark/>
          </w:tcPr>
          <w:p w14:paraId="66917FCC" w14:textId="77777777" w:rsidR="00F973BF" w:rsidRPr="00303572" w:rsidRDefault="00F973BF" w:rsidP="00303572">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303572">
              <w:rPr>
                <w:color w:val="FFFFFF" w:themeColor="background1"/>
              </w:rPr>
              <w:t>2015</w:t>
            </w:r>
          </w:p>
        </w:tc>
        <w:tc>
          <w:tcPr>
            <w:tcW w:w="810" w:type="dxa"/>
            <w:hideMark/>
          </w:tcPr>
          <w:p w14:paraId="76E098D6" w14:textId="77777777" w:rsidR="00F973BF" w:rsidRPr="00303572" w:rsidRDefault="00F973BF" w:rsidP="00303572">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303572">
              <w:rPr>
                <w:color w:val="FFFFFF" w:themeColor="background1"/>
              </w:rPr>
              <w:t>2016</w:t>
            </w:r>
          </w:p>
        </w:tc>
        <w:tc>
          <w:tcPr>
            <w:tcW w:w="810" w:type="dxa"/>
            <w:hideMark/>
          </w:tcPr>
          <w:p w14:paraId="215440E1" w14:textId="77777777" w:rsidR="00F973BF" w:rsidRPr="00303572" w:rsidRDefault="00F973BF" w:rsidP="00303572">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303572">
              <w:rPr>
                <w:color w:val="FFFFFF" w:themeColor="background1"/>
              </w:rPr>
              <w:t>2017</w:t>
            </w:r>
          </w:p>
        </w:tc>
        <w:tc>
          <w:tcPr>
            <w:tcW w:w="810" w:type="dxa"/>
            <w:hideMark/>
          </w:tcPr>
          <w:p w14:paraId="3849CA63" w14:textId="77777777" w:rsidR="00F973BF" w:rsidRPr="00303572" w:rsidRDefault="00F973BF" w:rsidP="00303572">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303572">
              <w:rPr>
                <w:color w:val="FFFFFF" w:themeColor="background1"/>
              </w:rPr>
              <w:t>2018</w:t>
            </w:r>
          </w:p>
        </w:tc>
        <w:tc>
          <w:tcPr>
            <w:tcW w:w="810" w:type="dxa"/>
            <w:hideMark/>
          </w:tcPr>
          <w:p w14:paraId="01E5F8DB" w14:textId="77777777" w:rsidR="00F973BF" w:rsidRPr="00303572" w:rsidRDefault="00F973BF" w:rsidP="00303572">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303572">
              <w:rPr>
                <w:color w:val="FFFFFF" w:themeColor="background1"/>
              </w:rPr>
              <w:t>2019</w:t>
            </w:r>
          </w:p>
        </w:tc>
        <w:tc>
          <w:tcPr>
            <w:tcW w:w="810" w:type="dxa"/>
            <w:hideMark/>
          </w:tcPr>
          <w:p w14:paraId="6E88A892" w14:textId="77777777" w:rsidR="00F973BF" w:rsidRPr="00303572" w:rsidRDefault="00F973BF" w:rsidP="00303572">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303572">
              <w:rPr>
                <w:color w:val="FFFFFF" w:themeColor="background1"/>
              </w:rPr>
              <w:t>2020</w:t>
            </w:r>
          </w:p>
        </w:tc>
        <w:tc>
          <w:tcPr>
            <w:tcW w:w="810" w:type="dxa"/>
            <w:hideMark/>
          </w:tcPr>
          <w:p w14:paraId="0BB7E008" w14:textId="77777777" w:rsidR="00F973BF" w:rsidRPr="00303572" w:rsidRDefault="00F973BF" w:rsidP="00303572">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303572">
              <w:rPr>
                <w:color w:val="FFFFFF" w:themeColor="background1"/>
              </w:rPr>
              <w:t>2021</w:t>
            </w:r>
          </w:p>
        </w:tc>
        <w:tc>
          <w:tcPr>
            <w:tcW w:w="810" w:type="dxa"/>
            <w:hideMark/>
          </w:tcPr>
          <w:p w14:paraId="281A482F" w14:textId="77777777" w:rsidR="00F973BF" w:rsidRPr="00303572" w:rsidRDefault="00F973BF" w:rsidP="00303572">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303572">
              <w:rPr>
                <w:color w:val="FFFFFF" w:themeColor="background1"/>
              </w:rPr>
              <w:t>2022</w:t>
            </w:r>
          </w:p>
        </w:tc>
        <w:tc>
          <w:tcPr>
            <w:tcW w:w="810" w:type="dxa"/>
            <w:hideMark/>
          </w:tcPr>
          <w:p w14:paraId="134FEC2C" w14:textId="77777777" w:rsidR="00F973BF" w:rsidRPr="00303572" w:rsidRDefault="00F973BF" w:rsidP="00303572">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303572">
              <w:rPr>
                <w:color w:val="FFFFFF" w:themeColor="background1"/>
              </w:rPr>
              <w:t>2023</w:t>
            </w:r>
          </w:p>
        </w:tc>
        <w:tc>
          <w:tcPr>
            <w:tcW w:w="810" w:type="dxa"/>
          </w:tcPr>
          <w:p w14:paraId="518BA361" w14:textId="03346FA0" w:rsidR="00F973BF" w:rsidRPr="00F973BF" w:rsidRDefault="00F973BF" w:rsidP="00303572">
            <w:pPr>
              <w:cnfStyle w:val="100000000000" w:firstRow="1" w:lastRow="0" w:firstColumn="0" w:lastColumn="0" w:oddVBand="0" w:evenVBand="0" w:oddHBand="0" w:evenHBand="0" w:firstRowFirstColumn="0" w:firstRowLastColumn="0" w:lastRowFirstColumn="0" w:lastRowLastColumn="0"/>
              <w:rPr>
                <w:bCs w:val="0"/>
                <w:color w:val="FFFFFF" w:themeColor="background1"/>
              </w:rPr>
            </w:pPr>
            <w:r w:rsidRPr="00F973BF">
              <w:rPr>
                <w:bCs w:val="0"/>
                <w:color w:val="FFFFFF" w:themeColor="background1"/>
              </w:rPr>
              <w:t>2024</w:t>
            </w:r>
          </w:p>
        </w:tc>
      </w:tr>
      <w:tr w:rsidR="00F973BF" w:rsidRPr="00303572" w14:paraId="452C1E70" w14:textId="29F0D3CF" w:rsidTr="005249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0F9AB062" w14:textId="77777777" w:rsidR="00F973BF" w:rsidRPr="00303572" w:rsidRDefault="00F973BF" w:rsidP="00303572"/>
        </w:tc>
        <w:tc>
          <w:tcPr>
            <w:tcW w:w="784" w:type="dxa"/>
            <w:hideMark/>
          </w:tcPr>
          <w:p w14:paraId="3C6D6390" w14:textId="77777777" w:rsidR="00F973BF" w:rsidRPr="00303572" w:rsidRDefault="00F973BF" w:rsidP="00303572">
            <w:pPr>
              <w:cnfStyle w:val="000000100000" w:firstRow="0" w:lastRow="0" w:firstColumn="0" w:lastColumn="0" w:oddVBand="0" w:evenVBand="0" w:oddHBand="1" w:evenHBand="0" w:firstRowFirstColumn="0" w:firstRowLastColumn="0" w:lastRowFirstColumn="0" w:lastRowLastColumn="0"/>
            </w:pPr>
            <w:r w:rsidRPr="00303572">
              <w:t>9.56%</w:t>
            </w:r>
          </w:p>
        </w:tc>
        <w:tc>
          <w:tcPr>
            <w:tcW w:w="810" w:type="dxa"/>
            <w:hideMark/>
          </w:tcPr>
          <w:p w14:paraId="4B915B7C" w14:textId="77777777" w:rsidR="00F973BF" w:rsidRPr="00303572" w:rsidRDefault="00F973BF" w:rsidP="00303572">
            <w:pPr>
              <w:cnfStyle w:val="000000100000" w:firstRow="0" w:lastRow="0" w:firstColumn="0" w:lastColumn="0" w:oddVBand="0" w:evenVBand="0" w:oddHBand="1" w:evenHBand="0" w:firstRowFirstColumn="0" w:firstRowLastColumn="0" w:lastRowFirstColumn="0" w:lastRowLastColumn="0"/>
            </w:pPr>
            <w:r w:rsidRPr="00303572">
              <w:t>9.66%</w:t>
            </w:r>
          </w:p>
        </w:tc>
        <w:tc>
          <w:tcPr>
            <w:tcW w:w="810" w:type="dxa"/>
            <w:hideMark/>
          </w:tcPr>
          <w:p w14:paraId="226F8B86" w14:textId="77777777" w:rsidR="00F973BF" w:rsidRPr="00303572" w:rsidRDefault="00F973BF" w:rsidP="00303572">
            <w:pPr>
              <w:cnfStyle w:val="000000100000" w:firstRow="0" w:lastRow="0" w:firstColumn="0" w:lastColumn="0" w:oddVBand="0" w:evenVBand="0" w:oddHBand="1" w:evenHBand="0" w:firstRowFirstColumn="0" w:firstRowLastColumn="0" w:lastRowFirstColumn="0" w:lastRowLastColumn="0"/>
            </w:pPr>
            <w:r w:rsidRPr="00303572">
              <w:t>9.69%</w:t>
            </w:r>
          </w:p>
        </w:tc>
        <w:tc>
          <w:tcPr>
            <w:tcW w:w="810" w:type="dxa"/>
            <w:hideMark/>
          </w:tcPr>
          <w:p w14:paraId="2C48679A" w14:textId="77777777" w:rsidR="00F973BF" w:rsidRPr="00303572" w:rsidRDefault="00F973BF" w:rsidP="00303572">
            <w:pPr>
              <w:cnfStyle w:val="000000100000" w:firstRow="0" w:lastRow="0" w:firstColumn="0" w:lastColumn="0" w:oddVBand="0" w:evenVBand="0" w:oddHBand="1" w:evenHBand="0" w:firstRowFirstColumn="0" w:firstRowLastColumn="0" w:lastRowFirstColumn="0" w:lastRowLastColumn="0"/>
            </w:pPr>
            <w:r w:rsidRPr="00303572">
              <w:t>9.56%</w:t>
            </w:r>
          </w:p>
        </w:tc>
        <w:tc>
          <w:tcPr>
            <w:tcW w:w="810" w:type="dxa"/>
            <w:hideMark/>
          </w:tcPr>
          <w:p w14:paraId="70BB4334" w14:textId="77777777" w:rsidR="00F973BF" w:rsidRPr="00303572" w:rsidRDefault="00F973BF" w:rsidP="00303572">
            <w:pPr>
              <w:cnfStyle w:val="000000100000" w:firstRow="0" w:lastRow="0" w:firstColumn="0" w:lastColumn="0" w:oddVBand="0" w:evenVBand="0" w:oddHBand="1" w:evenHBand="0" w:firstRowFirstColumn="0" w:firstRowLastColumn="0" w:lastRowFirstColumn="0" w:lastRowLastColumn="0"/>
            </w:pPr>
            <w:r w:rsidRPr="00303572">
              <w:t>9.86%</w:t>
            </w:r>
          </w:p>
        </w:tc>
        <w:tc>
          <w:tcPr>
            <w:tcW w:w="810" w:type="dxa"/>
            <w:hideMark/>
          </w:tcPr>
          <w:p w14:paraId="5B0E0DF0" w14:textId="77777777" w:rsidR="00F973BF" w:rsidRPr="00303572" w:rsidRDefault="00F973BF" w:rsidP="00303572">
            <w:pPr>
              <w:cnfStyle w:val="000000100000" w:firstRow="0" w:lastRow="0" w:firstColumn="0" w:lastColumn="0" w:oddVBand="0" w:evenVBand="0" w:oddHBand="1" w:evenHBand="0" w:firstRowFirstColumn="0" w:firstRowLastColumn="0" w:lastRowFirstColumn="0" w:lastRowLastColumn="0"/>
            </w:pPr>
            <w:r w:rsidRPr="00303572">
              <w:t>9.78%</w:t>
            </w:r>
          </w:p>
        </w:tc>
        <w:tc>
          <w:tcPr>
            <w:tcW w:w="810" w:type="dxa"/>
            <w:hideMark/>
          </w:tcPr>
          <w:p w14:paraId="45398754" w14:textId="77777777" w:rsidR="00F973BF" w:rsidRPr="00303572" w:rsidRDefault="00F973BF" w:rsidP="00303572">
            <w:pPr>
              <w:cnfStyle w:val="000000100000" w:firstRow="0" w:lastRow="0" w:firstColumn="0" w:lastColumn="0" w:oddVBand="0" w:evenVBand="0" w:oddHBand="1" w:evenHBand="0" w:firstRowFirstColumn="0" w:firstRowLastColumn="0" w:lastRowFirstColumn="0" w:lastRowLastColumn="0"/>
            </w:pPr>
            <w:r w:rsidRPr="00303572">
              <w:t>9.83%</w:t>
            </w:r>
          </w:p>
        </w:tc>
        <w:tc>
          <w:tcPr>
            <w:tcW w:w="810" w:type="dxa"/>
            <w:hideMark/>
          </w:tcPr>
          <w:p w14:paraId="4B0984DF" w14:textId="77777777" w:rsidR="00F973BF" w:rsidRPr="00303572" w:rsidRDefault="00F973BF" w:rsidP="00303572">
            <w:pPr>
              <w:cnfStyle w:val="000000100000" w:firstRow="0" w:lastRow="0" w:firstColumn="0" w:lastColumn="0" w:oddVBand="0" w:evenVBand="0" w:oddHBand="1" w:evenHBand="0" w:firstRowFirstColumn="0" w:firstRowLastColumn="0" w:lastRowFirstColumn="0" w:lastRowLastColumn="0"/>
            </w:pPr>
            <w:r w:rsidRPr="00303572">
              <w:t>9.61%</w:t>
            </w:r>
          </w:p>
        </w:tc>
        <w:tc>
          <w:tcPr>
            <w:tcW w:w="810" w:type="dxa"/>
            <w:hideMark/>
          </w:tcPr>
          <w:p w14:paraId="473B334E" w14:textId="77777777" w:rsidR="00F973BF" w:rsidRPr="00303572" w:rsidRDefault="00F973BF" w:rsidP="00303572">
            <w:pPr>
              <w:cnfStyle w:val="000000100000" w:firstRow="0" w:lastRow="0" w:firstColumn="0" w:lastColumn="0" w:oddVBand="0" w:evenVBand="0" w:oddHBand="1" w:evenHBand="0" w:firstRowFirstColumn="0" w:firstRowLastColumn="0" w:lastRowFirstColumn="0" w:lastRowLastColumn="0"/>
            </w:pPr>
            <w:r w:rsidRPr="00303572">
              <w:t>9.12%</w:t>
            </w:r>
          </w:p>
        </w:tc>
        <w:tc>
          <w:tcPr>
            <w:tcW w:w="810" w:type="dxa"/>
          </w:tcPr>
          <w:p w14:paraId="16FA7E79" w14:textId="0B3CF830" w:rsidR="00F973BF" w:rsidRPr="00303572" w:rsidRDefault="00F973BF" w:rsidP="00303572">
            <w:pPr>
              <w:cnfStyle w:val="000000100000" w:firstRow="0" w:lastRow="0" w:firstColumn="0" w:lastColumn="0" w:oddVBand="0" w:evenVBand="0" w:oddHBand="1" w:evenHBand="0" w:firstRowFirstColumn="0" w:firstRowLastColumn="0" w:lastRowFirstColumn="0" w:lastRowLastColumn="0"/>
            </w:pPr>
            <w:r>
              <w:t>8.39%</w:t>
            </w:r>
          </w:p>
        </w:tc>
      </w:tr>
    </w:tbl>
    <w:p w14:paraId="3663349B" w14:textId="55AADC8D" w:rsidR="00CE2335" w:rsidRDefault="00553521" w:rsidP="004854E8">
      <w:pPr>
        <w:spacing w:after="0"/>
      </w:pPr>
      <w:r>
        <w:t xml:space="preserve"> </w:t>
      </w:r>
    </w:p>
    <w:p w14:paraId="58CBE113" w14:textId="77777777" w:rsidR="002B1D79" w:rsidRDefault="002B1D79" w:rsidP="004854E8">
      <w:pPr>
        <w:spacing w:after="0"/>
      </w:pPr>
    </w:p>
    <w:p w14:paraId="33487F5B" w14:textId="4EE70040" w:rsidR="002B1D79" w:rsidRDefault="00204CB3" w:rsidP="00204CB3">
      <w:pPr>
        <w:pStyle w:val="Heading2"/>
      </w:pPr>
      <w:r>
        <w:t>Application</w:t>
      </w:r>
      <w:r w:rsidR="002B1D79">
        <w:t xml:space="preserve"> </w:t>
      </w:r>
    </w:p>
    <w:p w14:paraId="11AF0EC0" w14:textId="4DB5B65F" w:rsidR="00204CB3" w:rsidRDefault="00204CB3" w:rsidP="00204CB3">
      <w:r>
        <w:t xml:space="preserve">Effective for plan years beginning on or after January 1, 2024, the percentage to be used in affordability calculations is </w:t>
      </w:r>
      <w:r w:rsidR="00D45228">
        <w:t>8.39</w:t>
      </w:r>
      <w:r>
        <w:t xml:space="preserve">%. For calendar year plans, </w:t>
      </w:r>
      <w:r w:rsidR="00D45228">
        <w:t>8.39</w:t>
      </w:r>
      <w:r>
        <w:t>% applies beginning in January 202</w:t>
      </w:r>
      <w:r w:rsidR="00D45228">
        <w:t>4</w:t>
      </w:r>
      <w:r>
        <w:t xml:space="preserve">, but for a non-calendar year plan that renews in September, </w:t>
      </w:r>
      <w:r w:rsidR="00D45228">
        <w:t>8.39</w:t>
      </w:r>
      <w:r>
        <w:t>% applies beginning in September 202</w:t>
      </w:r>
      <w:r w:rsidR="00D45228">
        <w:t>4</w:t>
      </w:r>
      <w:r>
        <w:t xml:space="preserve">. </w:t>
      </w:r>
    </w:p>
    <w:p w14:paraId="0CCCD269" w14:textId="575FF2F1" w:rsidR="006312BD" w:rsidRDefault="006312BD" w:rsidP="00204CB3">
      <w:r>
        <w:t xml:space="preserve">The decrease in the affordability percentage (from 9.12% in 2023 to 8.39% in 2024) may require applicable large employers (ALEs) to lower employee contributions for employee-only (single) </w:t>
      </w:r>
      <w:r w:rsidR="123BEDD8">
        <w:t xml:space="preserve">coverage </w:t>
      </w:r>
      <w:r>
        <w:t>for the 2024 plan year to meet the affordability requirements under §4980H(b). Note that employers are not required to offer affordable coverage to spouses and dependents</w:t>
      </w:r>
      <w:r w:rsidR="10840237">
        <w:t>;</w:t>
      </w:r>
      <w:r>
        <w:t xml:space="preserve"> however</w:t>
      </w:r>
      <w:r w:rsidR="616964C0">
        <w:t>,</w:t>
      </w:r>
      <w:r>
        <w:t xml:space="preserve"> this lower affordability percentage might allow more spouses and dependents to qualify for subsidized individual health coverage through a public Exchange when the cost for the family to participate in the employer’s plan is deemed unaffordable.</w:t>
      </w:r>
    </w:p>
    <w:p w14:paraId="25059444" w14:textId="01FA1E81" w:rsidR="004647EA" w:rsidRDefault="00204CB3" w:rsidP="00204CB3">
      <w:r>
        <w:t xml:space="preserve">For more details about affordability requirements and use of an affordability safe harbor, see our issue brief on affordability considerations found at </w:t>
      </w:r>
      <w:hyperlink r:id="rId12" w:history="1">
        <w:r w:rsidR="00210C46" w:rsidRPr="007941D9">
          <w:rPr>
            <w:rStyle w:val="Hyperlink"/>
          </w:rPr>
          <w:t>https://www.benefitcomply.com/resources/2022/08/03/affordability-considerations/</w:t>
        </w:r>
      </w:hyperlink>
      <w:r>
        <w:t>.</w:t>
      </w:r>
    </w:p>
    <w:p w14:paraId="44D28B98" w14:textId="77777777" w:rsidR="007C727F" w:rsidRPr="007C727F" w:rsidRDefault="007C727F" w:rsidP="007C727F">
      <w:pPr>
        <w:rPr>
          <w:rStyle w:val="Heading4Char"/>
          <w:rFonts w:ascii="Georgia" w:hAnsi="Georgia" w:cs="Times New Roman"/>
          <w:color w:val="000000" w:themeColor="text1"/>
        </w:rPr>
      </w:pPr>
    </w:p>
    <w:p w14:paraId="00BD5DB2" w14:textId="0D41E314" w:rsidR="004A0AB1" w:rsidRPr="00A647F4" w:rsidRDefault="00933D49" w:rsidP="00A647F4">
      <w:pPr>
        <w:pStyle w:val="MediumGrid2-Accent11"/>
        <w:rPr>
          <w:rFonts w:cstheme="minorHAnsi"/>
          <w:i/>
          <w:sz w:val="16"/>
          <w:szCs w:val="16"/>
        </w:rPr>
      </w:pPr>
      <w:r w:rsidRPr="000966DF">
        <w:rPr>
          <w:rFonts w:cstheme="minorHAnsi"/>
          <w:i/>
          <w:sz w:val="16"/>
          <w:szCs w:val="16"/>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sectPr w:rsidR="004A0AB1" w:rsidRPr="00A647F4" w:rsidSect="0037467A">
      <w:footerReference w:type="default" r:id="rId13"/>
      <w:footerReference w:type="first" r:id="rId14"/>
      <w:type w:val="continuous"/>
      <w:pgSz w:w="12240" w:h="15840" w:code="1"/>
      <w:pgMar w:top="549" w:right="1080" w:bottom="1440" w:left="1080" w:header="965"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03331" w14:textId="77777777" w:rsidR="00C374A6" w:rsidRDefault="00C374A6" w:rsidP="00A75476">
      <w:r>
        <w:separator/>
      </w:r>
    </w:p>
  </w:endnote>
  <w:endnote w:type="continuationSeparator" w:id="0">
    <w:p w14:paraId="57E1FF01" w14:textId="77777777" w:rsidR="00C374A6" w:rsidRDefault="00C374A6" w:rsidP="00A7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9289" w14:textId="77777777" w:rsidR="008D174F" w:rsidRDefault="008D174F" w:rsidP="00B343CE">
    <w:pPr>
      <w:pStyle w:val="Footer"/>
      <w:spacing w:line="240" w:lineRule="auto"/>
      <w:jc w:val="center"/>
    </w:pPr>
  </w:p>
  <w:p w14:paraId="542819BC" w14:textId="676F56FC" w:rsidR="008D174F" w:rsidRPr="00EC6F17" w:rsidRDefault="00D96EA7" w:rsidP="00EC6F17">
    <w:pPr>
      <w:pStyle w:val="Footer"/>
      <w:spacing w:line="240" w:lineRule="auto"/>
      <w:jc w:val="center"/>
      <w:rPr>
        <w:lang w:val="en-US"/>
      </w:rPr>
    </w:pPr>
    <w:r w:rsidRPr="006C7EC1">
      <w:t>© 20</w:t>
    </w:r>
    <w:r>
      <w:rPr>
        <w:lang w:val="en-US"/>
      </w:rPr>
      <w:t>2</w:t>
    </w:r>
    <w:r w:rsidR="00E2182D">
      <w:rPr>
        <w:lang w:val="en-US"/>
      </w:rPr>
      <w:t>3</w:t>
    </w:r>
    <w:r w:rsidRPr="006C7EC1">
      <w:t xml:space="preserve"> </w:t>
    </w:r>
    <w:r>
      <w:t>Benefit Comply, LLC</w:t>
    </w:r>
    <w:r w:rsidR="00EC6F17">
      <w:rPr>
        <w:lang w:val="en-US"/>
      </w:rPr>
      <w:tab/>
    </w:r>
    <w:r w:rsidR="00EC6F17">
      <w:rPr>
        <w:lang w:val="en-US"/>
      </w:rPr>
      <w:tab/>
    </w:r>
    <w:r w:rsidRPr="00866B99">
      <w:fldChar w:fldCharType="begin"/>
    </w:r>
    <w:r w:rsidRPr="00866B99">
      <w:instrText xml:space="preserve"> PAGE   \* MERGEFORMAT </w:instrText>
    </w:r>
    <w:r w:rsidRPr="00866B99">
      <w:fldChar w:fldCharType="separate"/>
    </w:r>
    <w:r>
      <w:rPr>
        <w:noProof/>
      </w:rPr>
      <w:t>2</w:t>
    </w:r>
    <w:r w:rsidRPr="00866B9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4ADB9" w14:textId="2562F682" w:rsidR="008D174F" w:rsidRPr="00EC6F17" w:rsidRDefault="00D96EA7" w:rsidP="00EC6F17">
    <w:pPr>
      <w:pStyle w:val="Footer"/>
      <w:jc w:val="center"/>
      <w:rPr>
        <w:lang w:val="en-US"/>
      </w:rPr>
    </w:pPr>
    <w:r>
      <w:t>© 20</w:t>
    </w:r>
    <w:r>
      <w:rPr>
        <w:lang w:val="en-US"/>
      </w:rPr>
      <w:t>2</w:t>
    </w:r>
    <w:r w:rsidR="00E2182D">
      <w:rPr>
        <w:lang w:val="en-US"/>
      </w:rPr>
      <w:t>3</w:t>
    </w:r>
    <w:r w:rsidRPr="006C7EC1">
      <w:t xml:space="preserve"> </w:t>
    </w:r>
    <w:r>
      <w:t>Benefit Comply, LLC</w:t>
    </w:r>
    <w:r w:rsidR="00EC6F17">
      <w:rPr>
        <w:lang w:val="en-US"/>
      </w:rPr>
      <w:tab/>
    </w:r>
    <w:r w:rsidR="00EC6F17">
      <w:rPr>
        <w:lang w:val="en-US"/>
      </w:rPr>
      <w:tab/>
    </w:r>
    <w:r w:rsidRPr="00866B99">
      <w:fldChar w:fldCharType="begin"/>
    </w:r>
    <w:r w:rsidRPr="00866B99">
      <w:instrText xml:space="preserve"> PAGE   \* MERGEFORMAT </w:instrText>
    </w:r>
    <w:r w:rsidRPr="00866B99">
      <w:fldChar w:fldCharType="separate"/>
    </w:r>
    <w:r>
      <w:rPr>
        <w:noProof/>
      </w:rPr>
      <w:t>1</w:t>
    </w:r>
    <w:r w:rsidRPr="00866B9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A9EE1" w14:textId="77777777" w:rsidR="00C374A6" w:rsidRDefault="00C374A6" w:rsidP="00A75476">
      <w:r>
        <w:separator/>
      </w:r>
    </w:p>
  </w:footnote>
  <w:footnote w:type="continuationSeparator" w:id="0">
    <w:p w14:paraId="01D3108A" w14:textId="77777777" w:rsidR="00C374A6" w:rsidRDefault="00C374A6" w:rsidP="00A7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B8D"/>
    <w:multiLevelType w:val="hybridMultilevel"/>
    <w:tmpl w:val="CFDCB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5F163D"/>
    <w:multiLevelType w:val="multilevel"/>
    <w:tmpl w:val="D358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20BE2"/>
    <w:multiLevelType w:val="multilevel"/>
    <w:tmpl w:val="3B7C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42398"/>
    <w:multiLevelType w:val="multilevel"/>
    <w:tmpl w:val="6B9A7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AF7C10"/>
    <w:multiLevelType w:val="hybridMultilevel"/>
    <w:tmpl w:val="D01C8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D3B90"/>
    <w:multiLevelType w:val="hybridMultilevel"/>
    <w:tmpl w:val="E7CADB92"/>
    <w:lvl w:ilvl="0" w:tplc="998C1CF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97C66"/>
    <w:multiLevelType w:val="multilevel"/>
    <w:tmpl w:val="C388EA2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C61FC5"/>
    <w:multiLevelType w:val="hybridMultilevel"/>
    <w:tmpl w:val="E3F8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2255B"/>
    <w:multiLevelType w:val="multilevel"/>
    <w:tmpl w:val="BD7CA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A54A0C"/>
    <w:multiLevelType w:val="hybridMultilevel"/>
    <w:tmpl w:val="DD3E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A74D7"/>
    <w:multiLevelType w:val="hybridMultilevel"/>
    <w:tmpl w:val="6750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DC3FCC"/>
    <w:multiLevelType w:val="hybridMultilevel"/>
    <w:tmpl w:val="5C8E4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77A11"/>
    <w:multiLevelType w:val="multilevel"/>
    <w:tmpl w:val="7BE68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765085"/>
    <w:multiLevelType w:val="hybridMultilevel"/>
    <w:tmpl w:val="2C38A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340968"/>
    <w:multiLevelType w:val="hybridMultilevel"/>
    <w:tmpl w:val="3024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D66782"/>
    <w:multiLevelType w:val="hybridMultilevel"/>
    <w:tmpl w:val="4178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159F9"/>
    <w:multiLevelType w:val="multilevel"/>
    <w:tmpl w:val="C646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E204A4"/>
    <w:multiLevelType w:val="hybridMultilevel"/>
    <w:tmpl w:val="50949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7C52243"/>
    <w:multiLevelType w:val="hybridMultilevel"/>
    <w:tmpl w:val="3328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443539"/>
    <w:multiLevelType w:val="hybridMultilevel"/>
    <w:tmpl w:val="F264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EC2B37"/>
    <w:multiLevelType w:val="hybridMultilevel"/>
    <w:tmpl w:val="37DC6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D04FCB"/>
    <w:multiLevelType w:val="hybridMultilevel"/>
    <w:tmpl w:val="92CC3E6A"/>
    <w:lvl w:ilvl="0" w:tplc="9DF2D30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78008C"/>
    <w:multiLevelType w:val="hybridMultilevel"/>
    <w:tmpl w:val="2E1EB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171814"/>
    <w:multiLevelType w:val="multilevel"/>
    <w:tmpl w:val="C010C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EE1E7C"/>
    <w:multiLevelType w:val="hybridMultilevel"/>
    <w:tmpl w:val="27F8BE6C"/>
    <w:lvl w:ilvl="0" w:tplc="DA6AC6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4D6AFE"/>
    <w:multiLevelType w:val="hybridMultilevel"/>
    <w:tmpl w:val="B1CE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711523"/>
    <w:multiLevelType w:val="hybridMultilevel"/>
    <w:tmpl w:val="3908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796907"/>
    <w:multiLevelType w:val="hybridMultilevel"/>
    <w:tmpl w:val="92C8A538"/>
    <w:lvl w:ilvl="0" w:tplc="50EE32B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F10C43"/>
    <w:multiLevelType w:val="hybridMultilevel"/>
    <w:tmpl w:val="140C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6D5AD7"/>
    <w:multiLevelType w:val="hybridMultilevel"/>
    <w:tmpl w:val="AA0295E4"/>
    <w:lvl w:ilvl="0" w:tplc="81D656C2">
      <w:numFmt w:val="bullet"/>
      <w:lvlText w:val=""/>
      <w:lvlJc w:val="left"/>
      <w:pPr>
        <w:ind w:left="720" w:hanging="360"/>
      </w:pPr>
      <w:rPr>
        <w:rFonts w:ascii="Symbol" w:eastAsia="Calibr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AE1D7E"/>
    <w:multiLevelType w:val="multilevel"/>
    <w:tmpl w:val="4DAC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A7603A"/>
    <w:multiLevelType w:val="multilevel"/>
    <w:tmpl w:val="A91C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AB6472"/>
    <w:multiLevelType w:val="hybridMultilevel"/>
    <w:tmpl w:val="D9D0A8EC"/>
    <w:lvl w:ilvl="0" w:tplc="04B4E94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780433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781291">
    <w:abstractNumId w:val="24"/>
  </w:num>
  <w:num w:numId="3" w16cid:durableId="1824545861">
    <w:abstractNumId w:val="5"/>
  </w:num>
  <w:num w:numId="4" w16cid:durableId="941425011">
    <w:abstractNumId w:val="0"/>
  </w:num>
  <w:num w:numId="5" w16cid:durableId="944268387">
    <w:abstractNumId w:val="32"/>
  </w:num>
  <w:num w:numId="6" w16cid:durableId="1909537257">
    <w:abstractNumId w:val="27"/>
  </w:num>
  <w:num w:numId="7" w16cid:durableId="206912597">
    <w:abstractNumId w:val="29"/>
  </w:num>
  <w:num w:numId="8" w16cid:durableId="3751631">
    <w:abstractNumId w:val="21"/>
  </w:num>
  <w:num w:numId="9" w16cid:durableId="1625840865">
    <w:abstractNumId w:val="2"/>
  </w:num>
  <w:num w:numId="10" w16cid:durableId="286281121">
    <w:abstractNumId w:val="3"/>
  </w:num>
  <w:num w:numId="11" w16cid:durableId="783694730">
    <w:abstractNumId w:val="30"/>
  </w:num>
  <w:num w:numId="12" w16cid:durableId="1661275024">
    <w:abstractNumId w:val="12"/>
  </w:num>
  <w:num w:numId="13" w16cid:durableId="1847478714">
    <w:abstractNumId w:val="16"/>
  </w:num>
  <w:num w:numId="14" w16cid:durableId="796682776">
    <w:abstractNumId w:val="4"/>
  </w:num>
  <w:num w:numId="15" w16cid:durableId="1915820285">
    <w:abstractNumId w:val="18"/>
  </w:num>
  <w:num w:numId="16" w16cid:durableId="1031103399">
    <w:abstractNumId w:val="19"/>
  </w:num>
  <w:num w:numId="17" w16cid:durableId="1100686766">
    <w:abstractNumId w:val="7"/>
  </w:num>
  <w:num w:numId="18" w16cid:durableId="967705383">
    <w:abstractNumId w:val="6"/>
  </w:num>
  <w:num w:numId="19" w16cid:durableId="1007170645">
    <w:abstractNumId w:val="8"/>
  </w:num>
  <w:num w:numId="20" w16cid:durableId="484273967">
    <w:abstractNumId w:val="11"/>
  </w:num>
  <w:num w:numId="21" w16cid:durableId="1179268355">
    <w:abstractNumId w:val="23"/>
  </w:num>
  <w:num w:numId="22" w16cid:durableId="1336495928">
    <w:abstractNumId w:val="22"/>
  </w:num>
  <w:num w:numId="23" w16cid:durableId="49307241">
    <w:abstractNumId w:val="14"/>
  </w:num>
  <w:num w:numId="24" w16cid:durableId="1464885529">
    <w:abstractNumId w:val="15"/>
  </w:num>
  <w:num w:numId="25" w16cid:durableId="403913720">
    <w:abstractNumId w:val="20"/>
  </w:num>
  <w:num w:numId="26" w16cid:durableId="503513101">
    <w:abstractNumId w:val="1"/>
  </w:num>
  <w:num w:numId="27" w16cid:durableId="1774782006">
    <w:abstractNumId w:val="31"/>
  </w:num>
  <w:num w:numId="28" w16cid:durableId="819810131">
    <w:abstractNumId w:val="26"/>
  </w:num>
  <w:num w:numId="29" w16cid:durableId="1591892496">
    <w:abstractNumId w:val="25"/>
  </w:num>
  <w:num w:numId="30" w16cid:durableId="1139610100">
    <w:abstractNumId w:val="28"/>
  </w:num>
  <w:num w:numId="31" w16cid:durableId="1050110386">
    <w:abstractNumId w:val="9"/>
  </w:num>
  <w:num w:numId="32" w16cid:durableId="217976920">
    <w:abstractNumId w:val="13"/>
  </w:num>
  <w:num w:numId="33" w16cid:durableId="8605107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24"/>
    <w:rsid w:val="00001212"/>
    <w:rsid w:val="000056D1"/>
    <w:rsid w:val="0000643A"/>
    <w:rsid w:val="0001220F"/>
    <w:rsid w:val="00015BF9"/>
    <w:rsid w:val="00016BD4"/>
    <w:rsid w:val="000174BB"/>
    <w:rsid w:val="0002716A"/>
    <w:rsid w:val="00035684"/>
    <w:rsid w:val="00035DDE"/>
    <w:rsid w:val="0003666E"/>
    <w:rsid w:val="00042B1A"/>
    <w:rsid w:val="00045592"/>
    <w:rsid w:val="00052C1E"/>
    <w:rsid w:val="000542B3"/>
    <w:rsid w:val="0005611C"/>
    <w:rsid w:val="00064BE0"/>
    <w:rsid w:val="00067388"/>
    <w:rsid w:val="00072C7E"/>
    <w:rsid w:val="000739FA"/>
    <w:rsid w:val="00073E6E"/>
    <w:rsid w:val="00082BB8"/>
    <w:rsid w:val="00084092"/>
    <w:rsid w:val="000850FD"/>
    <w:rsid w:val="00090EFE"/>
    <w:rsid w:val="00091781"/>
    <w:rsid w:val="0009273B"/>
    <w:rsid w:val="000966DF"/>
    <w:rsid w:val="000970B5"/>
    <w:rsid w:val="000A6B35"/>
    <w:rsid w:val="000B43F6"/>
    <w:rsid w:val="000B7D90"/>
    <w:rsid w:val="000C0275"/>
    <w:rsid w:val="000C12D1"/>
    <w:rsid w:val="000C2088"/>
    <w:rsid w:val="000C239F"/>
    <w:rsid w:val="000D1095"/>
    <w:rsid w:val="000D2563"/>
    <w:rsid w:val="000D6E2D"/>
    <w:rsid w:val="000E0D6B"/>
    <w:rsid w:val="000F0469"/>
    <w:rsid w:val="000F06C9"/>
    <w:rsid w:val="000F5800"/>
    <w:rsid w:val="000F5D21"/>
    <w:rsid w:val="00100F5E"/>
    <w:rsid w:val="0010232C"/>
    <w:rsid w:val="0010399C"/>
    <w:rsid w:val="00105288"/>
    <w:rsid w:val="00105AB8"/>
    <w:rsid w:val="00112299"/>
    <w:rsid w:val="001218E1"/>
    <w:rsid w:val="00141630"/>
    <w:rsid w:val="00141C37"/>
    <w:rsid w:val="001473AE"/>
    <w:rsid w:val="00152063"/>
    <w:rsid w:val="0015523F"/>
    <w:rsid w:val="001576D6"/>
    <w:rsid w:val="0016433D"/>
    <w:rsid w:val="00170C7A"/>
    <w:rsid w:val="00171461"/>
    <w:rsid w:val="00184A0E"/>
    <w:rsid w:val="00184A31"/>
    <w:rsid w:val="0019108A"/>
    <w:rsid w:val="001916D8"/>
    <w:rsid w:val="0019634B"/>
    <w:rsid w:val="0019648D"/>
    <w:rsid w:val="00197486"/>
    <w:rsid w:val="001979DE"/>
    <w:rsid w:val="001A4A16"/>
    <w:rsid w:val="001A66BD"/>
    <w:rsid w:val="001B07A0"/>
    <w:rsid w:val="001B278A"/>
    <w:rsid w:val="001B298A"/>
    <w:rsid w:val="001B4285"/>
    <w:rsid w:val="001B4B1E"/>
    <w:rsid w:val="001B7AB1"/>
    <w:rsid w:val="001B7B05"/>
    <w:rsid w:val="001C3860"/>
    <w:rsid w:val="001C7881"/>
    <w:rsid w:val="001D2EA8"/>
    <w:rsid w:val="001E57D4"/>
    <w:rsid w:val="001F2728"/>
    <w:rsid w:val="001F74DC"/>
    <w:rsid w:val="00200093"/>
    <w:rsid w:val="00204CB3"/>
    <w:rsid w:val="00205E6D"/>
    <w:rsid w:val="00210C46"/>
    <w:rsid w:val="00212B21"/>
    <w:rsid w:val="00213249"/>
    <w:rsid w:val="0021397F"/>
    <w:rsid w:val="0021455D"/>
    <w:rsid w:val="00217D56"/>
    <w:rsid w:val="00220615"/>
    <w:rsid w:val="00222BFD"/>
    <w:rsid w:val="00240430"/>
    <w:rsid w:val="002415B0"/>
    <w:rsid w:val="00247368"/>
    <w:rsid w:val="002530B0"/>
    <w:rsid w:val="002543C8"/>
    <w:rsid w:val="00254F12"/>
    <w:rsid w:val="002626B6"/>
    <w:rsid w:val="0026520E"/>
    <w:rsid w:val="00273739"/>
    <w:rsid w:val="0027646A"/>
    <w:rsid w:val="00284520"/>
    <w:rsid w:val="00290F73"/>
    <w:rsid w:val="002943F5"/>
    <w:rsid w:val="002A524B"/>
    <w:rsid w:val="002B1D79"/>
    <w:rsid w:val="002B2CA6"/>
    <w:rsid w:val="002B7263"/>
    <w:rsid w:val="002C4548"/>
    <w:rsid w:val="002C5112"/>
    <w:rsid w:val="002C5257"/>
    <w:rsid w:val="002D7887"/>
    <w:rsid w:val="002E1CC0"/>
    <w:rsid w:val="002E1EF1"/>
    <w:rsid w:val="002E5AC5"/>
    <w:rsid w:val="002E5BC3"/>
    <w:rsid w:val="002F1332"/>
    <w:rsid w:val="002F28D6"/>
    <w:rsid w:val="00303572"/>
    <w:rsid w:val="003101A3"/>
    <w:rsid w:val="00310823"/>
    <w:rsid w:val="00311225"/>
    <w:rsid w:val="00316F8F"/>
    <w:rsid w:val="00320A65"/>
    <w:rsid w:val="00320A86"/>
    <w:rsid w:val="00321324"/>
    <w:rsid w:val="00324EFF"/>
    <w:rsid w:val="00325916"/>
    <w:rsid w:val="00327D99"/>
    <w:rsid w:val="0033116E"/>
    <w:rsid w:val="0033283C"/>
    <w:rsid w:val="0033395B"/>
    <w:rsid w:val="00333F90"/>
    <w:rsid w:val="00335BF7"/>
    <w:rsid w:val="00336BB1"/>
    <w:rsid w:val="00340EF4"/>
    <w:rsid w:val="00344CF4"/>
    <w:rsid w:val="00351321"/>
    <w:rsid w:val="00351B6F"/>
    <w:rsid w:val="0035517F"/>
    <w:rsid w:val="003648CE"/>
    <w:rsid w:val="0036634C"/>
    <w:rsid w:val="00366925"/>
    <w:rsid w:val="0036749A"/>
    <w:rsid w:val="00374551"/>
    <w:rsid w:val="0037467A"/>
    <w:rsid w:val="00375BAE"/>
    <w:rsid w:val="00380BCC"/>
    <w:rsid w:val="00382F02"/>
    <w:rsid w:val="003846F3"/>
    <w:rsid w:val="00392CB7"/>
    <w:rsid w:val="003944B6"/>
    <w:rsid w:val="003A1A59"/>
    <w:rsid w:val="003A4C33"/>
    <w:rsid w:val="003A78B7"/>
    <w:rsid w:val="003B23FE"/>
    <w:rsid w:val="003B287B"/>
    <w:rsid w:val="003B5648"/>
    <w:rsid w:val="003C0886"/>
    <w:rsid w:val="003C0E7F"/>
    <w:rsid w:val="003C2772"/>
    <w:rsid w:val="003C2F98"/>
    <w:rsid w:val="003C70A3"/>
    <w:rsid w:val="003D2420"/>
    <w:rsid w:val="003D3045"/>
    <w:rsid w:val="003D4BA1"/>
    <w:rsid w:val="003D6399"/>
    <w:rsid w:val="003D6B48"/>
    <w:rsid w:val="003E6C3D"/>
    <w:rsid w:val="003E7E89"/>
    <w:rsid w:val="003F02AB"/>
    <w:rsid w:val="003F4E3B"/>
    <w:rsid w:val="003F74A0"/>
    <w:rsid w:val="00404140"/>
    <w:rsid w:val="00404AEE"/>
    <w:rsid w:val="00404CBC"/>
    <w:rsid w:val="004072DF"/>
    <w:rsid w:val="004104DC"/>
    <w:rsid w:val="00416149"/>
    <w:rsid w:val="00420AF7"/>
    <w:rsid w:val="00421E3D"/>
    <w:rsid w:val="00423B0D"/>
    <w:rsid w:val="0042416B"/>
    <w:rsid w:val="00427E55"/>
    <w:rsid w:val="0043102E"/>
    <w:rsid w:val="004319EA"/>
    <w:rsid w:val="004400C8"/>
    <w:rsid w:val="00450468"/>
    <w:rsid w:val="0045052A"/>
    <w:rsid w:val="00450B04"/>
    <w:rsid w:val="00454AD9"/>
    <w:rsid w:val="00455473"/>
    <w:rsid w:val="00455C81"/>
    <w:rsid w:val="004573DE"/>
    <w:rsid w:val="004647EA"/>
    <w:rsid w:val="0046661A"/>
    <w:rsid w:val="00480002"/>
    <w:rsid w:val="004831D2"/>
    <w:rsid w:val="004854E8"/>
    <w:rsid w:val="004857AF"/>
    <w:rsid w:val="00492128"/>
    <w:rsid w:val="004948D1"/>
    <w:rsid w:val="00495E67"/>
    <w:rsid w:val="00497890"/>
    <w:rsid w:val="004A0AB1"/>
    <w:rsid w:val="004A11FF"/>
    <w:rsid w:val="004A3D0F"/>
    <w:rsid w:val="004B053B"/>
    <w:rsid w:val="004B154E"/>
    <w:rsid w:val="004B20EE"/>
    <w:rsid w:val="004B72A3"/>
    <w:rsid w:val="004C0F12"/>
    <w:rsid w:val="004D324F"/>
    <w:rsid w:val="004D44D8"/>
    <w:rsid w:val="004D7804"/>
    <w:rsid w:val="004E1C27"/>
    <w:rsid w:val="004E517F"/>
    <w:rsid w:val="004F139F"/>
    <w:rsid w:val="004F1654"/>
    <w:rsid w:val="004F6BC9"/>
    <w:rsid w:val="00500B4D"/>
    <w:rsid w:val="00510F8D"/>
    <w:rsid w:val="0051387E"/>
    <w:rsid w:val="00514B99"/>
    <w:rsid w:val="005153BC"/>
    <w:rsid w:val="005161E3"/>
    <w:rsid w:val="005167B9"/>
    <w:rsid w:val="00516D0C"/>
    <w:rsid w:val="00525377"/>
    <w:rsid w:val="005254E7"/>
    <w:rsid w:val="005302DE"/>
    <w:rsid w:val="00541044"/>
    <w:rsid w:val="00542492"/>
    <w:rsid w:val="00551D38"/>
    <w:rsid w:val="00552C09"/>
    <w:rsid w:val="00553521"/>
    <w:rsid w:val="005553E8"/>
    <w:rsid w:val="00557998"/>
    <w:rsid w:val="005632AD"/>
    <w:rsid w:val="00564168"/>
    <w:rsid w:val="005702A8"/>
    <w:rsid w:val="005725DB"/>
    <w:rsid w:val="005730EE"/>
    <w:rsid w:val="005757C1"/>
    <w:rsid w:val="00581053"/>
    <w:rsid w:val="005825B0"/>
    <w:rsid w:val="00585C38"/>
    <w:rsid w:val="00596270"/>
    <w:rsid w:val="005A303B"/>
    <w:rsid w:val="005B0EA3"/>
    <w:rsid w:val="005B11C9"/>
    <w:rsid w:val="005B125C"/>
    <w:rsid w:val="005B27F5"/>
    <w:rsid w:val="005B4A75"/>
    <w:rsid w:val="005B4B0C"/>
    <w:rsid w:val="005B6928"/>
    <w:rsid w:val="005B7B1F"/>
    <w:rsid w:val="005C0E82"/>
    <w:rsid w:val="005C18FE"/>
    <w:rsid w:val="005C1B54"/>
    <w:rsid w:val="005C629A"/>
    <w:rsid w:val="005C7032"/>
    <w:rsid w:val="005D2235"/>
    <w:rsid w:val="005D7415"/>
    <w:rsid w:val="005E11A0"/>
    <w:rsid w:val="005E4953"/>
    <w:rsid w:val="005E6C9B"/>
    <w:rsid w:val="005E76CC"/>
    <w:rsid w:val="005F05F7"/>
    <w:rsid w:val="005F14BC"/>
    <w:rsid w:val="005F5FA9"/>
    <w:rsid w:val="005F7996"/>
    <w:rsid w:val="0060727D"/>
    <w:rsid w:val="00611FE1"/>
    <w:rsid w:val="006242BC"/>
    <w:rsid w:val="0062561D"/>
    <w:rsid w:val="0062726A"/>
    <w:rsid w:val="006312BD"/>
    <w:rsid w:val="00635AF0"/>
    <w:rsid w:val="00640FCC"/>
    <w:rsid w:val="006439AF"/>
    <w:rsid w:val="006449CB"/>
    <w:rsid w:val="00650CE1"/>
    <w:rsid w:val="006514DD"/>
    <w:rsid w:val="0065164C"/>
    <w:rsid w:val="00655531"/>
    <w:rsid w:val="00660943"/>
    <w:rsid w:val="00665BF1"/>
    <w:rsid w:val="0067303C"/>
    <w:rsid w:val="00673734"/>
    <w:rsid w:val="00675C7E"/>
    <w:rsid w:val="00683265"/>
    <w:rsid w:val="006851B1"/>
    <w:rsid w:val="00686CC8"/>
    <w:rsid w:val="00696A77"/>
    <w:rsid w:val="006970AD"/>
    <w:rsid w:val="006A1947"/>
    <w:rsid w:val="006A22B1"/>
    <w:rsid w:val="006A635A"/>
    <w:rsid w:val="006B3077"/>
    <w:rsid w:val="006B485B"/>
    <w:rsid w:val="006B4FC4"/>
    <w:rsid w:val="006C473C"/>
    <w:rsid w:val="006C533E"/>
    <w:rsid w:val="006C5714"/>
    <w:rsid w:val="006E20CB"/>
    <w:rsid w:val="006E4607"/>
    <w:rsid w:val="006E4FAA"/>
    <w:rsid w:val="006F2E62"/>
    <w:rsid w:val="006F2FAC"/>
    <w:rsid w:val="006F5072"/>
    <w:rsid w:val="006F6993"/>
    <w:rsid w:val="006F6AD2"/>
    <w:rsid w:val="00700898"/>
    <w:rsid w:val="00701F18"/>
    <w:rsid w:val="007035BB"/>
    <w:rsid w:val="00705766"/>
    <w:rsid w:val="00706B16"/>
    <w:rsid w:val="007071C6"/>
    <w:rsid w:val="0071021F"/>
    <w:rsid w:val="0071060D"/>
    <w:rsid w:val="007124DF"/>
    <w:rsid w:val="00713261"/>
    <w:rsid w:val="0071571C"/>
    <w:rsid w:val="00717C48"/>
    <w:rsid w:val="0072268D"/>
    <w:rsid w:val="00723155"/>
    <w:rsid w:val="007248B2"/>
    <w:rsid w:val="00725F84"/>
    <w:rsid w:val="00726139"/>
    <w:rsid w:val="00733D63"/>
    <w:rsid w:val="00737279"/>
    <w:rsid w:val="007377C3"/>
    <w:rsid w:val="00741762"/>
    <w:rsid w:val="00742175"/>
    <w:rsid w:val="00742848"/>
    <w:rsid w:val="00751591"/>
    <w:rsid w:val="00751E04"/>
    <w:rsid w:val="0075712A"/>
    <w:rsid w:val="00757397"/>
    <w:rsid w:val="00757FAB"/>
    <w:rsid w:val="0076230E"/>
    <w:rsid w:val="00764C62"/>
    <w:rsid w:val="00767940"/>
    <w:rsid w:val="007712DC"/>
    <w:rsid w:val="007730AF"/>
    <w:rsid w:val="00776545"/>
    <w:rsid w:val="00776D8A"/>
    <w:rsid w:val="00776EEB"/>
    <w:rsid w:val="0078287B"/>
    <w:rsid w:val="00791B36"/>
    <w:rsid w:val="007950F7"/>
    <w:rsid w:val="007978E2"/>
    <w:rsid w:val="007A5621"/>
    <w:rsid w:val="007B0A61"/>
    <w:rsid w:val="007B6AF9"/>
    <w:rsid w:val="007C243F"/>
    <w:rsid w:val="007C4F90"/>
    <w:rsid w:val="007C727F"/>
    <w:rsid w:val="007D3EA7"/>
    <w:rsid w:val="007D7917"/>
    <w:rsid w:val="007E55EC"/>
    <w:rsid w:val="007E58D3"/>
    <w:rsid w:val="007F0790"/>
    <w:rsid w:val="007F2151"/>
    <w:rsid w:val="007F28D8"/>
    <w:rsid w:val="007F3213"/>
    <w:rsid w:val="00800AB8"/>
    <w:rsid w:val="00802019"/>
    <w:rsid w:val="0080208B"/>
    <w:rsid w:val="00802B12"/>
    <w:rsid w:val="0080635B"/>
    <w:rsid w:val="00814B5F"/>
    <w:rsid w:val="008210F3"/>
    <w:rsid w:val="00830A64"/>
    <w:rsid w:val="00833BC7"/>
    <w:rsid w:val="00834C1D"/>
    <w:rsid w:val="00835711"/>
    <w:rsid w:val="00846D82"/>
    <w:rsid w:val="00861F1C"/>
    <w:rsid w:val="008655FF"/>
    <w:rsid w:val="00872185"/>
    <w:rsid w:val="00872C65"/>
    <w:rsid w:val="008759B1"/>
    <w:rsid w:val="00881410"/>
    <w:rsid w:val="00884647"/>
    <w:rsid w:val="0088551A"/>
    <w:rsid w:val="00886916"/>
    <w:rsid w:val="008A27CD"/>
    <w:rsid w:val="008A796C"/>
    <w:rsid w:val="008B2DC6"/>
    <w:rsid w:val="008B3086"/>
    <w:rsid w:val="008B4CC6"/>
    <w:rsid w:val="008B5C1A"/>
    <w:rsid w:val="008B61AB"/>
    <w:rsid w:val="008B7093"/>
    <w:rsid w:val="008C0188"/>
    <w:rsid w:val="008C5469"/>
    <w:rsid w:val="008C7989"/>
    <w:rsid w:val="008D1447"/>
    <w:rsid w:val="008D174F"/>
    <w:rsid w:val="008D2E5D"/>
    <w:rsid w:val="008D41CA"/>
    <w:rsid w:val="008D5D0B"/>
    <w:rsid w:val="008E6758"/>
    <w:rsid w:val="008E6FAA"/>
    <w:rsid w:val="008E7CC0"/>
    <w:rsid w:val="008F0387"/>
    <w:rsid w:val="008F357F"/>
    <w:rsid w:val="008F5C47"/>
    <w:rsid w:val="00903100"/>
    <w:rsid w:val="00906AB9"/>
    <w:rsid w:val="00911C36"/>
    <w:rsid w:val="00913693"/>
    <w:rsid w:val="009137A4"/>
    <w:rsid w:val="009176E6"/>
    <w:rsid w:val="00920A6E"/>
    <w:rsid w:val="00923792"/>
    <w:rsid w:val="009262CB"/>
    <w:rsid w:val="009271CF"/>
    <w:rsid w:val="00927AA6"/>
    <w:rsid w:val="0093001C"/>
    <w:rsid w:val="0093085A"/>
    <w:rsid w:val="00931590"/>
    <w:rsid w:val="00933912"/>
    <w:rsid w:val="00933D49"/>
    <w:rsid w:val="00942E15"/>
    <w:rsid w:val="009431F0"/>
    <w:rsid w:val="00943B86"/>
    <w:rsid w:val="009519C5"/>
    <w:rsid w:val="00952786"/>
    <w:rsid w:val="00953B99"/>
    <w:rsid w:val="0095402F"/>
    <w:rsid w:val="0096788A"/>
    <w:rsid w:val="00971093"/>
    <w:rsid w:val="00971BE8"/>
    <w:rsid w:val="00971E16"/>
    <w:rsid w:val="00977ED3"/>
    <w:rsid w:val="00983350"/>
    <w:rsid w:val="0099394D"/>
    <w:rsid w:val="00993C42"/>
    <w:rsid w:val="009A33B5"/>
    <w:rsid w:val="009A58AE"/>
    <w:rsid w:val="009A7D76"/>
    <w:rsid w:val="009B141A"/>
    <w:rsid w:val="009B5C5F"/>
    <w:rsid w:val="009B6417"/>
    <w:rsid w:val="009B666F"/>
    <w:rsid w:val="009C43CA"/>
    <w:rsid w:val="009D3183"/>
    <w:rsid w:val="009D47A6"/>
    <w:rsid w:val="009D7781"/>
    <w:rsid w:val="009E6583"/>
    <w:rsid w:val="009E6758"/>
    <w:rsid w:val="009F0C34"/>
    <w:rsid w:val="009F60CD"/>
    <w:rsid w:val="00A00139"/>
    <w:rsid w:val="00A0417A"/>
    <w:rsid w:val="00A17916"/>
    <w:rsid w:val="00A17B8F"/>
    <w:rsid w:val="00A17E66"/>
    <w:rsid w:val="00A210F1"/>
    <w:rsid w:val="00A230B5"/>
    <w:rsid w:val="00A23D8B"/>
    <w:rsid w:val="00A27EFC"/>
    <w:rsid w:val="00A33979"/>
    <w:rsid w:val="00A34043"/>
    <w:rsid w:val="00A4736D"/>
    <w:rsid w:val="00A52269"/>
    <w:rsid w:val="00A52710"/>
    <w:rsid w:val="00A54A66"/>
    <w:rsid w:val="00A57749"/>
    <w:rsid w:val="00A60190"/>
    <w:rsid w:val="00A647F4"/>
    <w:rsid w:val="00A71D50"/>
    <w:rsid w:val="00A75476"/>
    <w:rsid w:val="00A75F85"/>
    <w:rsid w:val="00A818B9"/>
    <w:rsid w:val="00A82476"/>
    <w:rsid w:val="00A83AA1"/>
    <w:rsid w:val="00A8458B"/>
    <w:rsid w:val="00A85D88"/>
    <w:rsid w:val="00A90F69"/>
    <w:rsid w:val="00A92234"/>
    <w:rsid w:val="00A934CB"/>
    <w:rsid w:val="00A93FB0"/>
    <w:rsid w:val="00AB3FE1"/>
    <w:rsid w:val="00AC0179"/>
    <w:rsid w:val="00AC1C99"/>
    <w:rsid w:val="00AC4889"/>
    <w:rsid w:val="00AC5A00"/>
    <w:rsid w:val="00AC5C75"/>
    <w:rsid w:val="00AC70EC"/>
    <w:rsid w:val="00AD1643"/>
    <w:rsid w:val="00AD1735"/>
    <w:rsid w:val="00AD61B8"/>
    <w:rsid w:val="00AD6E8D"/>
    <w:rsid w:val="00AE5CE1"/>
    <w:rsid w:val="00AE6599"/>
    <w:rsid w:val="00AE703F"/>
    <w:rsid w:val="00AE7785"/>
    <w:rsid w:val="00AF18A8"/>
    <w:rsid w:val="00AF4291"/>
    <w:rsid w:val="00AF4C61"/>
    <w:rsid w:val="00AF6D69"/>
    <w:rsid w:val="00B21E34"/>
    <w:rsid w:val="00B22B5C"/>
    <w:rsid w:val="00B236A1"/>
    <w:rsid w:val="00B244CC"/>
    <w:rsid w:val="00B270B8"/>
    <w:rsid w:val="00B31825"/>
    <w:rsid w:val="00B340DB"/>
    <w:rsid w:val="00B343CE"/>
    <w:rsid w:val="00B37431"/>
    <w:rsid w:val="00B4157B"/>
    <w:rsid w:val="00B43563"/>
    <w:rsid w:val="00B469E8"/>
    <w:rsid w:val="00B508F2"/>
    <w:rsid w:val="00B53F3D"/>
    <w:rsid w:val="00B55F9C"/>
    <w:rsid w:val="00B6044E"/>
    <w:rsid w:val="00B615D5"/>
    <w:rsid w:val="00B64A20"/>
    <w:rsid w:val="00B71D27"/>
    <w:rsid w:val="00B72467"/>
    <w:rsid w:val="00B74A0C"/>
    <w:rsid w:val="00B83647"/>
    <w:rsid w:val="00B84BC1"/>
    <w:rsid w:val="00B87DD9"/>
    <w:rsid w:val="00B90582"/>
    <w:rsid w:val="00B91A11"/>
    <w:rsid w:val="00B948E4"/>
    <w:rsid w:val="00B96C46"/>
    <w:rsid w:val="00BA7910"/>
    <w:rsid w:val="00BB0291"/>
    <w:rsid w:val="00BB063B"/>
    <w:rsid w:val="00BB068C"/>
    <w:rsid w:val="00BC0F74"/>
    <w:rsid w:val="00BC2F60"/>
    <w:rsid w:val="00BC40E7"/>
    <w:rsid w:val="00BC6B60"/>
    <w:rsid w:val="00BD14EA"/>
    <w:rsid w:val="00BE383E"/>
    <w:rsid w:val="00BE51BE"/>
    <w:rsid w:val="00BF229A"/>
    <w:rsid w:val="00BF39A0"/>
    <w:rsid w:val="00BF43B4"/>
    <w:rsid w:val="00BF6DA3"/>
    <w:rsid w:val="00BF7E70"/>
    <w:rsid w:val="00C009DA"/>
    <w:rsid w:val="00C00FE2"/>
    <w:rsid w:val="00C0267E"/>
    <w:rsid w:val="00C02794"/>
    <w:rsid w:val="00C03B3F"/>
    <w:rsid w:val="00C0429B"/>
    <w:rsid w:val="00C04481"/>
    <w:rsid w:val="00C0606D"/>
    <w:rsid w:val="00C12368"/>
    <w:rsid w:val="00C21ED6"/>
    <w:rsid w:val="00C230EB"/>
    <w:rsid w:val="00C30073"/>
    <w:rsid w:val="00C32126"/>
    <w:rsid w:val="00C374A6"/>
    <w:rsid w:val="00C3777C"/>
    <w:rsid w:val="00C41FF8"/>
    <w:rsid w:val="00C43FAE"/>
    <w:rsid w:val="00C52732"/>
    <w:rsid w:val="00C539EF"/>
    <w:rsid w:val="00C5495D"/>
    <w:rsid w:val="00C6226D"/>
    <w:rsid w:val="00C63C04"/>
    <w:rsid w:val="00C63D36"/>
    <w:rsid w:val="00C6431D"/>
    <w:rsid w:val="00C65D4C"/>
    <w:rsid w:val="00C6621F"/>
    <w:rsid w:val="00C66C3B"/>
    <w:rsid w:val="00C66F5E"/>
    <w:rsid w:val="00C70743"/>
    <w:rsid w:val="00C74202"/>
    <w:rsid w:val="00C7463B"/>
    <w:rsid w:val="00C76641"/>
    <w:rsid w:val="00C7770C"/>
    <w:rsid w:val="00C81009"/>
    <w:rsid w:val="00C838E2"/>
    <w:rsid w:val="00C83FDE"/>
    <w:rsid w:val="00C844FD"/>
    <w:rsid w:val="00C84C7F"/>
    <w:rsid w:val="00C90091"/>
    <w:rsid w:val="00C906FA"/>
    <w:rsid w:val="00C94F27"/>
    <w:rsid w:val="00CA06A9"/>
    <w:rsid w:val="00CA7966"/>
    <w:rsid w:val="00CB16AF"/>
    <w:rsid w:val="00CB4857"/>
    <w:rsid w:val="00CB7CB3"/>
    <w:rsid w:val="00CD31DE"/>
    <w:rsid w:val="00CD343A"/>
    <w:rsid w:val="00CD72C4"/>
    <w:rsid w:val="00CE1D08"/>
    <w:rsid w:val="00CE2335"/>
    <w:rsid w:val="00CE382A"/>
    <w:rsid w:val="00CE433D"/>
    <w:rsid w:val="00CE46F9"/>
    <w:rsid w:val="00CE4D88"/>
    <w:rsid w:val="00CF13A4"/>
    <w:rsid w:val="00CF1420"/>
    <w:rsid w:val="00CF61E7"/>
    <w:rsid w:val="00CF65BE"/>
    <w:rsid w:val="00D0135F"/>
    <w:rsid w:val="00D056FC"/>
    <w:rsid w:val="00D10636"/>
    <w:rsid w:val="00D16829"/>
    <w:rsid w:val="00D23677"/>
    <w:rsid w:val="00D243E6"/>
    <w:rsid w:val="00D3082B"/>
    <w:rsid w:val="00D31C30"/>
    <w:rsid w:val="00D32264"/>
    <w:rsid w:val="00D34667"/>
    <w:rsid w:val="00D356B4"/>
    <w:rsid w:val="00D361B8"/>
    <w:rsid w:val="00D37CBD"/>
    <w:rsid w:val="00D40E48"/>
    <w:rsid w:val="00D45228"/>
    <w:rsid w:val="00D45797"/>
    <w:rsid w:val="00D45A80"/>
    <w:rsid w:val="00D465C0"/>
    <w:rsid w:val="00D551AD"/>
    <w:rsid w:val="00D5534F"/>
    <w:rsid w:val="00D571CD"/>
    <w:rsid w:val="00D602B9"/>
    <w:rsid w:val="00D61294"/>
    <w:rsid w:val="00D70432"/>
    <w:rsid w:val="00D730A9"/>
    <w:rsid w:val="00D7401E"/>
    <w:rsid w:val="00D763DE"/>
    <w:rsid w:val="00D77E0E"/>
    <w:rsid w:val="00D916FD"/>
    <w:rsid w:val="00D941CC"/>
    <w:rsid w:val="00D96EA7"/>
    <w:rsid w:val="00DA0BAF"/>
    <w:rsid w:val="00DA19DA"/>
    <w:rsid w:val="00DA47F0"/>
    <w:rsid w:val="00DA6BBE"/>
    <w:rsid w:val="00DB0826"/>
    <w:rsid w:val="00DB5F90"/>
    <w:rsid w:val="00DB724F"/>
    <w:rsid w:val="00DC0A86"/>
    <w:rsid w:val="00DC1E37"/>
    <w:rsid w:val="00DC27E2"/>
    <w:rsid w:val="00DD0012"/>
    <w:rsid w:val="00DD1036"/>
    <w:rsid w:val="00DD29DB"/>
    <w:rsid w:val="00DE2B66"/>
    <w:rsid w:val="00DE43BD"/>
    <w:rsid w:val="00DE7C9D"/>
    <w:rsid w:val="00DF13F6"/>
    <w:rsid w:val="00DF23F8"/>
    <w:rsid w:val="00DF641F"/>
    <w:rsid w:val="00DF6666"/>
    <w:rsid w:val="00DF7812"/>
    <w:rsid w:val="00E0105E"/>
    <w:rsid w:val="00E012CC"/>
    <w:rsid w:val="00E01F55"/>
    <w:rsid w:val="00E02BC3"/>
    <w:rsid w:val="00E03431"/>
    <w:rsid w:val="00E03D92"/>
    <w:rsid w:val="00E115B8"/>
    <w:rsid w:val="00E11D2F"/>
    <w:rsid w:val="00E13A4D"/>
    <w:rsid w:val="00E14ECC"/>
    <w:rsid w:val="00E154EF"/>
    <w:rsid w:val="00E20C50"/>
    <w:rsid w:val="00E2182D"/>
    <w:rsid w:val="00E2327D"/>
    <w:rsid w:val="00E25742"/>
    <w:rsid w:val="00E26044"/>
    <w:rsid w:val="00E322E1"/>
    <w:rsid w:val="00E3231D"/>
    <w:rsid w:val="00E34402"/>
    <w:rsid w:val="00E344F6"/>
    <w:rsid w:val="00E36956"/>
    <w:rsid w:val="00E37D48"/>
    <w:rsid w:val="00E37ED2"/>
    <w:rsid w:val="00E419BE"/>
    <w:rsid w:val="00E43246"/>
    <w:rsid w:val="00E4478A"/>
    <w:rsid w:val="00E51946"/>
    <w:rsid w:val="00E52245"/>
    <w:rsid w:val="00E54ABA"/>
    <w:rsid w:val="00E6282D"/>
    <w:rsid w:val="00E660A3"/>
    <w:rsid w:val="00E768B1"/>
    <w:rsid w:val="00E805A4"/>
    <w:rsid w:val="00E817FE"/>
    <w:rsid w:val="00E82759"/>
    <w:rsid w:val="00E82983"/>
    <w:rsid w:val="00E82BF7"/>
    <w:rsid w:val="00E84572"/>
    <w:rsid w:val="00E90654"/>
    <w:rsid w:val="00E9730C"/>
    <w:rsid w:val="00EA1147"/>
    <w:rsid w:val="00EB6148"/>
    <w:rsid w:val="00EC2E6B"/>
    <w:rsid w:val="00EC33BA"/>
    <w:rsid w:val="00EC6536"/>
    <w:rsid w:val="00EC6F17"/>
    <w:rsid w:val="00ED086D"/>
    <w:rsid w:val="00ED6284"/>
    <w:rsid w:val="00EF135E"/>
    <w:rsid w:val="00EF2F47"/>
    <w:rsid w:val="00F0266E"/>
    <w:rsid w:val="00F06968"/>
    <w:rsid w:val="00F130C8"/>
    <w:rsid w:val="00F13651"/>
    <w:rsid w:val="00F145FB"/>
    <w:rsid w:val="00F14E3C"/>
    <w:rsid w:val="00F17556"/>
    <w:rsid w:val="00F21A29"/>
    <w:rsid w:val="00F21B8E"/>
    <w:rsid w:val="00F347A6"/>
    <w:rsid w:val="00F375DF"/>
    <w:rsid w:val="00F37A37"/>
    <w:rsid w:val="00F37E23"/>
    <w:rsid w:val="00F4360E"/>
    <w:rsid w:val="00F45586"/>
    <w:rsid w:val="00F50299"/>
    <w:rsid w:val="00F50477"/>
    <w:rsid w:val="00F545D5"/>
    <w:rsid w:val="00F600D0"/>
    <w:rsid w:val="00F62588"/>
    <w:rsid w:val="00F66320"/>
    <w:rsid w:val="00F67209"/>
    <w:rsid w:val="00F71AA8"/>
    <w:rsid w:val="00F7604C"/>
    <w:rsid w:val="00F81BC4"/>
    <w:rsid w:val="00F865DB"/>
    <w:rsid w:val="00F87D3D"/>
    <w:rsid w:val="00F931E6"/>
    <w:rsid w:val="00F969F5"/>
    <w:rsid w:val="00F973BF"/>
    <w:rsid w:val="00FA0D32"/>
    <w:rsid w:val="00FA2869"/>
    <w:rsid w:val="00FA40A0"/>
    <w:rsid w:val="00FB1517"/>
    <w:rsid w:val="00FB6114"/>
    <w:rsid w:val="00FB6937"/>
    <w:rsid w:val="00FC0F95"/>
    <w:rsid w:val="00FC2F22"/>
    <w:rsid w:val="00FC4383"/>
    <w:rsid w:val="00FC4A3C"/>
    <w:rsid w:val="00FC7341"/>
    <w:rsid w:val="00FD2FDA"/>
    <w:rsid w:val="00FE02BA"/>
    <w:rsid w:val="00FE6FE6"/>
    <w:rsid w:val="10840237"/>
    <w:rsid w:val="123BEDD8"/>
    <w:rsid w:val="35E443BF"/>
    <w:rsid w:val="616964C0"/>
    <w:rsid w:val="713F2B97"/>
    <w:rsid w:val="7942D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E6253"/>
  <w15:docId w15:val="{AB408409-FC6D-A84E-80A0-DC9451976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947"/>
    <w:pPr>
      <w:spacing w:line="360" w:lineRule="auto"/>
    </w:pPr>
    <w:rPr>
      <w:rFonts w:ascii="Georgia" w:eastAsia="Times New Roman" w:hAnsi="Georgia" w:cs="Times New Roman"/>
      <w:color w:val="000000" w:themeColor="text1"/>
      <w:sz w:val="20"/>
      <w:szCs w:val="20"/>
      <w:lang w:bidi="en-US"/>
    </w:rPr>
  </w:style>
  <w:style w:type="paragraph" w:styleId="Heading1">
    <w:name w:val="heading 1"/>
    <w:basedOn w:val="Normal"/>
    <w:next w:val="Normal"/>
    <w:link w:val="Heading1Char"/>
    <w:uiPriority w:val="9"/>
    <w:qFormat/>
    <w:rsid w:val="00EC6F17"/>
    <w:pPr>
      <w:keepNext/>
      <w:keepLines/>
      <w:spacing w:before="240"/>
      <w:outlineLvl w:val="0"/>
    </w:pPr>
    <w:rPr>
      <w:rFonts w:ascii="Arial" w:eastAsiaTheme="majorEastAsia" w:hAnsi="Arial" w:cs="Arial"/>
      <w:color w:val="142DFF"/>
      <w:sz w:val="32"/>
      <w:szCs w:val="32"/>
      <w:lang w:bidi="ar-SA"/>
    </w:rPr>
  </w:style>
  <w:style w:type="paragraph" w:styleId="Heading2">
    <w:name w:val="heading 2"/>
    <w:basedOn w:val="Normal"/>
    <w:next w:val="Normal"/>
    <w:link w:val="Heading2Char"/>
    <w:uiPriority w:val="9"/>
    <w:unhideWhenUsed/>
    <w:qFormat/>
    <w:rsid w:val="00335BF7"/>
    <w:pPr>
      <w:spacing w:after="0"/>
      <w:outlineLvl w:val="1"/>
    </w:pPr>
    <w:rPr>
      <w:rFonts w:ascii="Arial" w:hAnsi="Arial" w:cs="Arial"/>
      <w:b/>
      <w:bCs/>
      <w:color w:val="0B3AF5" w:themeColor="accent1"/>
      <w:sz w:val="22"/>
      <w:szCs w:val="22"/>
    </w:rPr>
  </w:style>
  <w:style w:type="paragraph" w:styleId="Heading3">
    <w:name w:val="heading 3"/>
    <w:basedOn w:val="Normal"/>
    <w:next w:val="Normal"/>
    <w:link w:val="Heading3Char"/>
    <w:uiPriority w:val="9"/>
    <w:unhideWhenUsed/>
    <w:qFormat/>
    <w:rsid w:val="005C0E82"/>
    <w:pPr>
      <w:spacing w:after="40"/>
      <w:outlineLvl w:val="2"/>
    </w:pPr>
    <w:rPr>
      <w:rFonts w:ascii="Arial" w:hAnsi="Arial" w:cs="Arial"/>
      <w:b/>
      <w:bCs/>
    </w:rPr>
  </w:style>
  <w:style w:type="paragraph" w:styleId="Heading4">
    <w:name w:val="heading 4"/>
    <w:basedOn w:val="Heading3"/>
    <w:next w:val="Normal"/>
    <w:link w:val="Heading4Char"/>
    <w:uiPriority w:val="9"/>
    <w:unhideWhenUsed/>
    <w:qFormat/>
    <w:rsid w:val="00A52710"/>
    <w:pPr>
      <w:outlineLvl w:val="3"/>
    </w:pPr>
    <w:rPr>
      <w:b w:val="0"/>
      <w:bCs w:val="0"/>
      <w:color w:val="04ACDC"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F17"/>
    <w:rPr>
      <w:rFonts w:ascii="Arial" w:eastAsiaTheme="majorEastAsia" w:hAnsi="Arial" w:cs="Arial"/>
      <w:color w:val="142DFF"/>
      <w:sz w:val="32"/>
      <w:szCs w:val="32"/>
    </w:rPr>
  </w:style>
  <w:style w:type="paragraph" w:customStyle="1" w:styleId="MediumGrid2-Accent11">
    <w:name w:val="Medium Grid 2 - Accent 11"/>
    <w:aliases w:val="Bob Comments"/>
    <w:basedOn w:val="Normal"/>
    <w:link w:val="MediumGrid2-Accent1Char"/>
    <w:uiPriority w:val="1"/>
    <w:rsid w:val="00321324"/>
    <w:rPr>
      <w:lang w:val="x-none" w:eastAsia="x-none"/>
    </w:rPr>
  </w:style>
  <w:style w:type="character" w:styleId="Hyperlink">
    <w:name w:val="Hyperlink"/>
    <w:uiPriority w:val="99"/>
    <w:unhideWhenUsed/>
    <w:rsid w:val="00321324"/>
    <w:rPr>
      <w:color w:val="0000FF"/>
      <w:u w:val="single"/>
    </w:rPr>
  </w:style>
  <w:style w:type="paragraph" w:styleId="Footer">
    <w:name w:val="footer"/>
    <w:basedOn w:val="Normal"/>
    <w:link w:val="FooterChar"/>
    <w:uiPriority w:val="99"/>
    <w:unhideWhenUsed/>
    <w:rsid w:val="00321324"/>
    <w:pPr>
      <w:tabs>
        <w:tab w:val="center" w:pos="4680"/>
        <w:tab w:val="right" w:pos="9360"/>
      </w:tabs>
    </w:pPr>
    <w:rPr>
      <w:lang w:val="x-none" w:eastAsia="x-none"/>
    </w:rPr>
  </w:style>
  <w:style w:type="character" w:customStyle="1" w:styleId="FooterChar">
    <w:name w:val="Footer Char"/>
    <w:basedOn w:val="DefaultParagraphFont"/>
    <w:link w:val="Footer"/>
    <w:uiPriority w:val="99"/>
    <w:rsid w:val="00321324"/>
    <w:rPr>
      <w:rFonts w:ascii="Arial" w:eastAsia="Calibri" w:hAnsi="Arial" w:cs="Arial"/>
      <w:sz w:val="20"/>
      <w:szCs w:val="20"/>
      <w:lang w:val="x-none" w:eastAsia="x-none" w:bidi="en-US"/>
    </w:rPr>
  </w:style>
  <w:style w:type="character" w:customStyle="1" w:styleId="MediumGrid2-Accent1Char">
    <w:name w:val="Medium Grid 2 - Accent 1 Char"/>
    <w:aliases w:val="Bob Comments Char,No Spacing Char"/>
    <w:link w:val="MediumGrid2-Accent11"/>
    <w:uiPriority w:val="1"/>
    <w:rsid w:val="00321324"/>
    <w:rPr>
      <w:rFonts w:ascii="Arial" w:eastAsia="Calibri" w:hAnsi="Arial" w:cs="Arial"/>
      <w:sz w:val="20"/>
      <w:szCs w:val="20"/>
      <w:lang w:val="x-none" w:eastAsia="x-none" w:bidi="en-US"/>
    </w:rPr>
  </w:style>
  <w:style w:type="character" w:customStyle="1" w:styleId="apple-converted-space">
    <w:name w:val="apple-converted-space"/>
    <w:rsid w:val="00321324"/>
  </w:style>
  <w:style w:type="paragraph" w:customStyle="1" w:styleId="ColorfulList-Accent11">
    <w:name w:val="Colorful List - Accent 11"/>
    <w:basedOn w:val="Normal"/>
    <w:uiPriority w:val="34"/>
    <w:qFormat/>
    <w:rsid w:val="00321324"/>
    <w:pPr>
      <w:contextualSpacing/>
    </w:pPr>
  </w:style>
  <w:style w:type="paragraph" w:customStyle="1" w:styleId="xmsonormal">
    <w:name w:val="x_msonormal"/>
    <w:basedOn w:val="Normal"/>
    <w:uiPriority w:val="99"/>
    <w:rsid w:val="00321324"/>
    <w:rPr>
      <w:rFonts w:ascii="Times New Roman" w:hAnsi="Times New Roman"/>
      <w:sz w:val="24"/>
      <w:szCs w:val="24"/>
      <w:lang w:bidi="ar-SA"/>
    </w:rPr>
  </w:style>
  <w:style w:type="character" w:customStyle="1" w:styleId="highlight">
    <w:name w:val="highlight"/>
    <w:rsid w:val="00321324"/>
  </w:style>
  <w:style w:type="character" w:customStyle="1" w:styleId="Heading2Char">
    <w:name w:val="Heading 2 Char"/>
    <w:basedOn w:val="DefaultParagraphFont"/>
    <w:link w:val="Heading2"/>
    <w:uiPriority w:val="9"/>
    <w:rsid w:val="00335BF7"/>
    <w:rPr>
      <w:rFonts w:ascii="Arial" w:eastAsia="Times New Roman" w:hAnsi="Arial" w:cs="Arial"/>
      <w:b/>
      <w:bCs/>
      <w:color w:val="0B3AF5" w:themeColor="accent1"/>
      <w:lang w:bidi="en-US"/>
    </w:rPr>
  </w:style>
  <w:style w:type="character" w:styleId="UnresolvedMention">
    <w:name w:val="Unresolved Mention"/>
    <w:basedOn w:val="DefaultParagraphFont"/>
    <w:uiPriority w:val="99"/>
    <w:semiHidden/>
    <w:unhideWhenUsed/>
    <w:rsid w:val="003B5648"/>
    <w:rPr>
      <w:color w:val="605E5C"/>
      <w:shd w:val="clear" w:color="auto" w:fill="E1DFDD"/>
    </w:rPr>
  </w:style>
  <w:style w:type="table" w:styleId="TableGrid">
    <w:name w:val="Table Grid"/>
    <w:basedOn w:val="TableNormal"/>
    <w:rsid w:val="00773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AF9"/>
    <w:pPr>
      <w:ind w:left="720"/>
      <w:contextualSpacing/>
    </w:pPr>
  </w:style>
  <w:style w:type="character" w:customStyle="1" w:styleId="markw7q2h9x8m">
    <w:name w:val="markw7q2h9x8m"/>
    <w:basedOn w:val="DefaultParagraphFont"/>
    <w:rsid w:val="00CB7CB3"/>
  </w:style>
  <w:style w:type="character" w:customStyle="1" w:styleId="marka4mbgs3yf">
    <w:name w:val="marka4mbgs3yf"/>
    <w:basedOn w:val="DefaultParagraphFont"/>
    <w:rsid w:val="00CB7CB3"/>
  </w:style>
  <w:style w:type="character" w:customStyle="1" w:styleId="marko6tehxx58">
    <w:name w:val="marko6tehxx58"/>
    <w:basedOn w:val="DefaultParagraphFont"/>
    <w:rsid w:val="00CB7CB3"/>
  </w:style>
  <w:style w:type="character" w:customStyle="1" w:styleId="markiaao1uuyy">
    <w:name w:val="markiaao1uuyy"/>
    <w:basedOn w:val="DefaultParagraphFont"/>
    <w:rsid w:val="00152063"/>
  </w:style>
  <w:style w:type="paragraph" w:styleId="Header">
    <w:name w:val="header"/>
    <w:basedOn w:val="Normal"/>
    <w:link w:val="HeaderChar"/>
    <w:uiPriority w:val="99"/>
    <w:unhideWhenUsed/>
    <w:rsid w:val="00284520"/>
    <w:pPr>
      <w:tabs>
        <w:tab w:val="center" w:pos="4680"/>
        <w:tab w:val="right" w:pos="9360"/>
      </w:tabs>
    </w:pPr>
  </w:style>
  <w:style w:type="character" w:customStyle="1" w:styleId="HeaderChar">
    <w:name w:val="Header Char"/>
    <w:basedOn w:val="DefaultParagraphFont"/>
    <w:link w:val="Header"/>
    <w:uiPriority w:val="99"/>
    <w:rsid w:val="00284520"/>
    <w:rPr>
      <w:rFonts w:ascii="Arial" w:eastAsia="Calibri" w:hAnsi="Arial" w:cs="Arial"/>
      <w:sz w:val="20"/>
      <w:szCs w:val="20"/>
      <w:lang w:bidi="en-US"/>
    </w:rPr>
  </w:style>
  <w:style w:type="paragraph" w:styleId="Title">
    <w:name w:val="Title"/>
    <w:basedOn w:val="Normal"/>
    <w:next w:val="Normal"/>
    <w:link w:val="TitleChar"/>
    <w:uiPriority w:val="10"/>
    <w:qFormat/>
    <w:rsid w:val="00A7547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5476"/>
    <w:rPr>
      <w:rFonts w:asciiTheme="majorHAnsi" w:eastAsiaTheme="majorEastAsia" w:hAnsiTheme="majorHAnsi" w:cstheme="majorBidi"/>
      <w:spacing w:val="-10"/>
      <w:kern w:val="28"/>
      <w:sz w:val="56"/>
      <w:szCs w:val="56"/>
      <w:lang w:bidi="en-US"/>
    </w:rPr>
  </w:style>
  <w:style w:type="table" w:customStyle="1" w:styleId="TableGrid1">
    <w:name w:val="Table Grid1"/>
    <w:basedOn w:val="TableNormal"/>
    <w:next w:val="TableGrid"/>
    <w:rsid w:val="00A754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C0E82"/>
    <w:rPr>
      <w:rFonts w:ascii="Arial" w:eastAsia="Times New Roman" w:hAnsi="Arial" w:cs="Arial"/>
      <w:b/>
      <w:bCs/>
      <w:color w:val="000000" w:themeColor="text1"/>
      <w:sz w:val="20"/>
      <w:szCs w:val="20"/>
      <w:lang w:bidi="en-US"/>
    </w:rPr>
  </w:style>
  <w:style w:type="character" w:customStyle="1" w:styleId="Heading4Char">
    <w:name w:val="Heading 4 Char"/>
    <w:basedOn w:val="DefaultParagraphFont"/>
    <w:link w:val="Heading4"/>
    <w:uiPriority w:val="9"/>
    <w:rsid w:val="00A52710"/>
    <w:rPr>
      <w:rFonts w:ascii="Arial" w:eastAsia="Times New Roman" w:hAnsi="Arial" w:cs="Arial"/>
      <w:color w:val="04ACDC" w:themeColor="accent3"/>
      <w:sz w:val="20"/>
      <w:szCs w:val="20"/>
      <w:lang w:bidi="en-US"/>
    </w:rPr>
  </w:style>
  <w:style w:type="paragraph" w:styleId="NormalWeb">
    <w:name w:val="Normal (Web)"/>
    <w:basedOn w:val="Normal"/>
    <w:uiPriority w:val="99"/>
    <w:semiHidden/>
    <w:unhideWhenUsed/>
    <w:rsid w:val="00E817FE"/>
    <w:pPr>
      <w:spacing w:before="100" w:beforeAutospacing="1" w:after="100" w:afterAutospacing="1" w:line="240" w:lineRule="auto"/>
    </w:pPr>
    <w:rPr>
      <w:rFonts w:ascii="Times New Roman" w:hAnsi="Times New Roman"/>
      <w:color w:val="auto"/>
      <w:sz w:val="24"/>
      <w:szCs w:val="24"/>
      <w:lang w:bidi="ar-SA"/>
    </w:rPr>
  </w:style>
  <w:style w:type="paragraph" w:styleId="Revision">
    <w:name w:val="Revision"/>
    <w:hidden/>
    <w:uiPriority w:val="99"/>
    <w:semiHidden/>
    <w:rsid w:val="00660943"/>
    <w:pPr>
      <w:spacing w:after="0" w:line="240" w:lineRule="auto"/>
    </w:pPr>
    <w:rPr>
      <w:rFonts w:ascii="Georgia" w:eastAsia="Times New Roman" w:hAnsi="Georgia" w:cs="Times New Roman"/>
      <w:color w:val="000000" w:themeColor="text1"/>
      <w:sz w:val="20"/>
      <w:szCs w:val="20"/>
      <w:lang w:bidi="en-US"/>
    </w:rPr>
  </w:style>
  <w:style w:type="table" w:styleId="GridTable4-Accent1">
    <w:name w:val="Grid Table 4 Accent 1"/>
    <w:basedOn w:val="TableNormal"/>
    <w:uiPriority w:val="49"/>
    <w:rsid w:val="007950F7"/>
    <w:pPr>
      <w:spacing w:after="0" w:line="240" w:lineRule="auto"/>
    </w:pPr>
    <w:tblPr>
      <w:tblStyleRowBandSize w:val="1"/>
      <w:tblStyleColBandSize w:val="1"/>
      <w:tblBorders>
        <w:top w:val="single" w:sz="4" w:space="0" w:color="6C88F9" w:themeColor="accent1" w:themeTint="99"/>
        <w:left w:val="single" w:sz="4" w:space="0" w:color="6C88F9" w:themeColor="accent1" w:themeTint="99"/>
        <w:bottom w:val="single" w:sz="4" w:space="0" w:color="6C88F9" w:themeColor="accent1" w:themeTint="99"/>
        <w:right w:val="single" w:sz="4" w:space="0" w:color="6C88F9" w:themeColor="accent1" w:themeTint="99"/>
        <w:insideH w:val="single" w:sz="4" w:space="0" w:color="6C88F9" w:themeColor="accent1" w:themeTint="99"/>
        <w:insideV w:val="single" w:sz="4" w:space="0" w:color="6C88F9" w:themeColor="accent1" w:themeTint="99"/>
      </w:tblBorders>
    </w:tblPr>
    <w:tblStylePr w:type="firstRow">
      <w:rPr>
        <w:b/>
        <w:bCs/>
        <w:color w:val="FFFFFF" w:themeColor="background1"/>
      </w:rPr>
      <w:tblPr/>
      <w:tcPr>
        <w:tcBorders>
          <w:top w:val="single" w:sz="4" w:space="0" w:color="0B3AF5" w:themeColor="accent1"/>
          <w:left w:val="single" w:sz="4" w:space="0" w:color="0B3AF5" w:themeColor="accent1"/>
          <w:bottom w:val="single" w:sz="4" w:space="0" w:color="0B3AF5" w:themeColor="accent1"/>
          <w:right w:val="single" w:sz="4" w:space="0" w:color="0B3AF5" w:themeColor="accent1"/>
          <w:insideH w:val="nil"/>
          <w:insideV w:val="nil"/>
        </w:tcBorders>
        <w:shd w:val="clear" w:color="auto" w:fill="0B3AF5" w:themeFill="accent1"/>
      </w:tcPr>
    </w:tblStylePr>
    <w:tblStylePr w:type="lastRow">
      <w:rPr>
        <w:b/>
        <w:bCs/>
      </w:rPr>
      <w:tblPr/>
      <w:tcPr>
        <w:tcBorders>
          <w:top w:val="double" w:sz="4" w:space="0" w:color="0B3AF5" w:themeColor="accent1"/>
        </w:tcBorders>
      </w:tcPr>
    </w:tblStylePr>
    <w:tblStylePr w:type="firstCol">
      <w:rPr>
        <w:b/>
        <w:bCs/>
      </w:rPr>
    </w:tblStylePr>
    <w:tblStylePr w:type="lastCol">
      <w:rPr>
        <w:b/>
        <w:bCs/>
      </w:rPr>
    </w:tblStylePr>
    <w:tblStylePr w:type="band1Vert">
      <w:tblPr/>
      <w:tcPr>
        <w:shd w:val="clear" w:color="auto" w:fill="CED7FD" w:themeFill="accent1" w:themeFillTint="33"/>
      </w:tcPr>
    </w:tblStylePr>
    <w:tblStylePr w:type="band1Horz">
      <w:tblPr/>
      <w:tcPr>
        <w:shd w:val="clear" w:color="auto" w:fill="CED7FD" w:themeFill="accent1" w:themeFillTint="33"/>
      </w:tcPr>
    </w:tblStylePr>
  </w:style>
  <w:style w:type="table" w:styleId="GridTable2-Accent1">
    <w:name w:val="Grid Table 2 Accent 1"/>
    <w:basedOn w:val="TableNormal"/>
    <w:uiPriority w:val="47"/>
    <w:rsid w:val="00A85D88"/>
    <w:pPr>
      <w:spacing w:after="0" w:line="240" w:lineRule="auto"/>
    </w:pPr>
    <w:tblPr>
      <w:tblStyleRowBandSize w:val="1"/>
      <w:tblStyleColBandSize w:val="1"/>
      <w:tblBorders>
        <w:top w:val="single" w:sz="2" w:space="0" w:color="6C88F9" w:themeColor="accent1" w:themeTint="99"/>
        <w:bottom w:val="single" w:sz="2" w:space="0" w:color="6C88F9" w:themeColor="accent1" w:themeTint="99"/>
        <w:insideH w:val="single" w:sz="2" w:space="0" w:color="6C88F9" w:themeColor="accent1" w:themeTint="99"/>
        <w:insideV w:val="single" w:sz="2" w:space="0" w:color="6C88F9" w:themeColor="accent1" w:themeTint="99"/>
      </w:tblBorders>
    </w:tblPr>
    <w:tblStylePr w:type="firstRow">
      <w:rPr>
        <w:b/>
        <w:bCs/>
      </w:rPr>
      <w:tblPr/>
      <w:tcPr>
        <w:tcBorders>
          <w:top w:val="nil"/>
          <w:bottom w:val="single" w:sz="12" w:space="0" w:color="6C88F9" w:themeColor="accent1" w:themeTint="99"/>
          <w:insideH w:val="nil"/>
          <w:insideV w:val="nil"/>
        </w:tcBorders>
        <w:shd w:val="clear" w:color="auto" w:fill="FFFFFF" w:themeFill="background1"/>
      </w:tcPr>
    </w:tblStylePr>
    <w:tblStylePr w:type="lastRow">
      <w:rPr>
        <w:b/>
        <w:bCs/>
      </w:rPr>
      <w:tblPr/>
      <w:tcPr>
        <w:tcBorders>
          <w:top w:val="double" w:sz="2" w:space="0" w:color="6C88F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7FD" w:themeFill="accent1" w:themeFillTint="33"/>
      </w:tcPr>
    </w:tblStylePr>
    <w:tblStylePr w:type="band1Horz">
      <w:tblPr/>
      <w:tcPr>
        <w:shd w:val="clear" w:color="auto" w:fill="CED7FD" w:themeFill="accent1" w:themeFillTint="33"/>
      </w:tcPr>
    </w:tblStylePr>
  </w:style>
  <w:style w:type="character" w:styleId="FollowedHyperlink">
    <w:name w:val="FollowedHyperlink"/>
    <w:basedOn w:val="DefaultParagraphFont"/>
    <w:uiPriority w:val="99"/>
    <w:semiHidden/>
    <w:unhideWhenUsed/>
    <w:rsid w:val="00210C46"/>
    <w:rPr>
      <w:color w:val="CDC9B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79284">
      <w:bodyDiv w:val="1"/>
      <w:marLeft w:val="0"/>
      <w:marRight w:val="0"/>
      <w:marTop w:val="0"/>
      <w:marBottom w:val="0"/>
      <w:divBdr>
        <w:top w:val="none" w:sz="0" w:space="0" w:color="auto"/>
        <w:left w:val="none" w:sz="0" w:space="0" w:color="auto"/>
        <w:bottom w:val="none" w:sz="0" w:space="0" w:color="auto"/>
        <w:right w:val="none" w:sz="0" w:space="0" w:color="auto"/>
      </w:divBdr>
    </w:div>
    <w:div w:id="473983102">
      <w:bodyDiv w:val="1"/>
      <w:marLeft w:val="0"/>
      <w:marRight w:val="0"/>
      <w:marTop w:val="0"/>
      <w:marBottom w:val="0"/>
      <w:divBdr>
        <w:top w:val="none" w:sz="0" w:space="0" w:color="auto"/>
        <w:left w:val="none" w:sz="0" w:space="0" w:color="auto"/>
        <w:bottom w:val="none" w:sz="0" w:space="0" w:color="auto"/>
        <w:right w:val="none" w:sz="0" w:space="0" w:color="auto"/>
      </w:divBdr>
      <w:divsChild>
        <w:div w:id="11301820">
          <w:marLeft w:val="0"/>
          <w:marRight w:val="0"/>
          <w:marTop w:val="0"/>
          <w:marBottom w:val="0"/>
          <w:divBdr>
            <w:top w:val="none" w:sz="0" w:space="0" w:color="auto"/>
            <w:left w:val="none" w:sz="0" w:space="0" w:color="auto"/>
            <w:bottom w:val="none" w:sz="0" w:space="0" w:color="auto"/>
            <w:right w:val="none" w:sz="0" w:space="0" w:color="auto"/>
          </w:divBdr>
        </w:div>
        <w:div w:id="40980597">
          <w:marLeft w:val="0"/>
          <w:marRight w:val="0"/>
          <w:marTop w:val="0"/>
          <w:marBottom w:val="0"/>
          <w:divBdr>
            <w:top w:val="none" w:sz="0" w:space="0" w:color="auto"/>
            <w:left w:val="none" w:sz="0" w:space="0" w:color="auto"/>
            <w:bottom w:val="none" w:sz="0" w:space="0" w:color="auto"/>
            <w:right w:val="none" w:sz="0" w:space="0" w:color="auto"/>
          </w:divBdr>
        </w:div>
        <w:div w:id="85003533">
          <w:marLeft w:val="0"/>
          <w:marRight w:val="0"/>
          <w:marTop w:val="0"/>
          <w:marBottom w:val="0"/>
          <w:divBdr>
            <w:top w:val="none" w:sz="0" w:space="0" w:color="auto"/>
            <w:left w:val="none" w:sz="0" w:space="0" w:color="auto"/>
            <w:bottom w:val="none" w:sz="0" w:space="0" w:color="auto"/>
            <w:right w:val="none" w:sz="0" w:space="0" w:color="auto"/>
          </w:divBdr>
        </w:div>
        <w:div w:id="98598722">
          <w:marLeft w:val="0"/>
          <w:marRight w:val="0"/>
          <w:marTop w:val="0"/>
          <w:marBottom w:val="0"/>
          <w:divBdr>
            <w:top w:val="none" w:sz="0" w:space="0" w:color="auto"/>
            <w:left w:val="none" w:sz="0" w:space="0" w:color="auto"/>
            <w:bottom w:val="none" w:sz="0" w:space="0" w:color="auto"/>
            <w:right w:val="none" w:sz="0" w:space="0" w:color="auto"/>
          </w:divBdr>
        </w:div>
        <w:div w:id="110058352">
          <w:marLeft w:val="0"/>
          <w:marRight w:val="0"/>
          <w:marTop w:val="0"/>
          <w:marBottom w:val="0"/>
          <w:divBdr>
            <w:top w:val="none" w:sz="0" w:space="0" w:color="auto"/>
            <w:left w:val="none" w:sz="0" w:space="0" w:color="auto"/>
            <w:bottom w:val="none" w:sz="0" w:space="0" w:color="auto"/>
            <w:right w:val="none" w:sz="0" w:space="0" w:color="auto"/>
          </w:divBdr>
        </w:div>
        <w:div w:id="243803007">
          <w:marLeft w:val="0"/>
          <w:marRight w:val="0"/>
          <w:marTop w:val="0"/>
          <w:marBottom w:val="0"/>
          <w:divBdr>
            <w:top w:val="none" w:sz="0" w:space="0" w:color="auto"/>
            <w:left w:val="none" w:sz="0" w:space="0" w:color="auto"/>
            <w:bottom w:val="none" w:sz="0" w:space="0" w:color="auto"/>
            <w:right w:val="none" w:sz="0" w:space="0" w:color="auto"/>
          </w:divBdr>
        </w:div>
        <w:div w:id="301427814">
          <w:marLeft w:val="0"/>
          <w:marRight w:val="0"/>
          <w:marTop w:val="0"/>
          <w:marBottom w:val="0"/>
          <w:divBdr>
            <w:top w:val="none" w:sz="0" w:space="0" w:color="auto"/>
            <w:left w:val="none" w:sz="0" w:space="0" w:color="auto"/>
            <w:bottom w:val="none" w:sz="0" w:space="0" w:color="auto"/>
            <w:right w:val="none" w:sz="0" w:space="0" w:color="auto"/>
          </w:divBdr>
        </w:div>
        <w:div w:id="324551065">
          <w:marLeft w:val="0"/>
          <w:marRight w:val="0"/>
          <w:marTop w:val="0"/>
          <w:marBottom w:val="0"/>
          <w:divBdr>
            <w:top w:val="none" w:sz="0" w:space="0" w:color="auto"/>
            <w:left w:val="none" w:sz="0" w:space="0" w:color="auto"/>
            <w:bottom w:val="none" w:sz="0" w:space="0" w:color="auto"/>
            <w:right w:val="none" w:sz="0" w:space="0" w:color="auto"/>
          </w:divBdr>
        </w:div>
        <w:div w:id="396363034">
          <w:marLeft w:val="0"/>
          <w:marRight w:val="0"/>
          <w:marTop w:val="0"/>
          <w:marBottom w:val="0"/>
          <w:divBdr>
            <w:top w:val="none" w:sz="0" w:space="0" w:color="auto"/>
            <w:left w:val="none" w:sz="0" w:space="0" w:color="auto"/>
            <w:bottom w:val="none" w:sz="0" w:space="0" w:color="auto"/>
            <w:right w:val="none" w:sz="0" w:space="0" w:color="auto"/>
          </w:divBdr>
        </w:div>
        <w:div w:id="404182942">
          <w:marLeft w:val="0"/>
          <w:marRight w:val="0"/>
          <w:marTop w:val="0"/>
          <w:marBottom w:val="0"/>
          <w:divBdr>
            <w:top w:val="none" w:sz="0" w:space="0" w:color="auto"/>
            <w:left w:val="none" w:sz="0" w:space="0" w:color="auto"/>
            <w:bottom w:val="none" w:sz="0" w:space="0" w:color="auto"/>
            <w:right w:val="none" w:sz="0" w:space="0" w:color="auto"/>
          </w:divBdr>
        </w:div>
        <w:div w:id="624122940">
          <w:marLeft w:val="0"/>
          <w:marRight w:val="0"/>
          <w:marTop w:val="0"/>
          <w:marBottom w:val="0"/>
          <w:divBdr>
            <w:top w:val="none" w:sz="0" w:space="0" w:color="auto"/>
            <w:left w:val="none" w:sz="0" w:space="0" w:color="auto"/>
            <w:bottom w:val="none" w:sz="0" w:space="0" w:color="auto"/>
            <w:right w:val="none" w:sz="0" w:space="0" w:color="auto"/>
          </w:divBdr>
        </w:div>
        <w:div w:id="632953573">
          <w:marLeft w:val="0"/>
          <w:marRight w:val="0"/>
          <w:marTop w:val="0"/>
          <w:marBottom w:val="0"/>
          <w:divBdr>
            <w:top w:val="none" w:sz="0" w:space="0" w:color="auto"/>
            <w:left w:val="none" w:sz="0" w:space="0" w:color="auto"/>
            <w:bottom w:val="none" w:sz="0" w:space="0" w:color="auto"/>
            <w:right w:val="none" w:sz="0" w:space="0" w:color="auto"/>
          </w:divBdr>
        </w:div>
        <w:div w:id="650864644">
          <w:marLeft w:val="0"/>
          <w:marRight w:val="0"/>
          <w:marTop w:val="0"/>
          <w:marBottom w:val="0"/>
          <w:divBdr>
            <w:top w:val="none" w:sz="0" w:space="0" w:color="auto"/>
            <w:left w:val="none" w:sz="0" w:space="0" w:color="auto"/>
            <w:bottom w:val="none" w:sz="0" w:space="0" w:color="auto"/>
            <w:right w:val="none" w:sz="0" w:space="0" w:color="auto"/>
          </w:divBdr>
        </w:div>
        <w:div w:id="659506838">
          <w:marLeft w:val="0"/>
          <w:marRight w:val="0"/>
          <w:marTop w:val="0"/>
          <w:marBottom w:val="0"/>
          <w:divBdr>
            <w:top w:val="none" w:sz="0" w:space="0" w:color="auto"/>
            <w:left w:val="none" w:sz="0" w:space="0" w:color="auto"/>
            <w:bottom w:val="none" w:sz="0" w:space="0" w:color="auto"/>
            <w:right w:val="none" w:sz="0" w:space="0" w:color="auto"/>
          </w:divBdr>
        </w:div>
        <w:div w:id="694112622">
          <w:marLeft w:val="0"/>
          <w:marRight w:val="0"/>
          <w:marTop w:val="0"/>
          <w:marBottom w:val="0"/>
          <w:divBdr>
            <w:top w:val="none" w:sz="0" w:space="0" w:color="auto"/>
            <w:left w:val="none" w:sz="0" w:space="0" w:color="auto"/>
            <w:bottom w:val="none" w:sz="0" w:space="0" w:color="auto"/>
            <w:right w:val="none" w:sz="0" w:space="0" w:color="auto"/>
          </w:divBdr>
        </w:div>
        <w:div w:id="712464356">
          <w:marLeft w:val="0"/>
          <w:marRight w:val="0"/>
          <w:marTop w:val="0"/>
          <w:marBottom w:val="0"/>
          <w:divBdr>
            <w:top w:val="none" w:sz="0" w:space="0" w:color="auto"/>
            <w:left w:val="none" w:sz="0" w:space="0" w:color="auto"/>
            <w:bottom w:val="none" w:sz="0" w:space="0" w:color="auto"/>
            <w:right w:val="none" w:sz="0" w:space="0" w:color="auto"/>
          </w:divBdr>
        </w:div>
        <w:div w:id="786319863">
          <w:marLeft w:val="0"/>
          <w:marRight w:val="0"/>
          <w:marTop w:val="0"/>
          <w:marBottom w:val="0"/>
          <w:divBdr>
            <w:top w:val="none" w:sz="0" w:space="0" w:color="auto"/>
            <w:left w:val="none" w:sz="0" w:space="0" w:color="auto"/>
            <w:bottom w:val="none" w:sz="0" w:space="0" w:color="auto"/>
            <w:right w:val="none" w:sz="0" w:space="0" w:color="auto"/>
          </w:divBdr>
        </w:div>
        <w:div w:id="860050151">
          <w:marLeft w:val="0"/>
          <w:marRight w:val="0"/>
          <w:marTop w:val="0"/>
          <w:marBottom w:val="0"/>
          <w:divBdr>
            <w:top w:val="none" w:sz="0" w:space="0" w:color="auto"/>
            <w:left w:val="none" w:sz="0" w:space="0" w:color="auto"/>
            <w:bottom w:val="none" w:sz="0" w:space="0" w:color="auto"/>
            <w:right w:val="none" w:sz="0" w:space="0" w:color="auto"/>
          </w:divBdr>
        </w:div>
        <w:div w:id="930089975">
          <w:marLeft w:val="0"/>
          <w:marRight w:val="0"/>
          <w:marTop w:val="0"/>
          <w:marBottom w:val="0"/>
          <w:divBdr>
            <w:top w:val="none" w:sz="0" w:space="0" w:color="auto"/>
            <w:left w:val="none" w:sz="0" w:space="0" w:color="auto"/>
            <w:bottom w:val="none" w:sz="0" w:space="0" w:color="auto"/>
            <w:right w:val="none" w:sz="0" w:space="0" w:color="auto"/>
          </w:divBdr>
        </w:div>
        <w:div w:id="1200433645">
          <w:marLeft w:val="0"/>
          <w:marRight w:val="0"/>
          <w:marTop w:val="0"/>
          <w:marBottom w:val="0"/>
          <w:divBdr>
            <w:top w:val="none" w:sz="0" w:space="0" w:color="auto"/>
            <w:left w:val="none" w:sz="0" w:space="0" w:color="auto"/>
            <w:bottom w:val="none" w:sz="0" w:space="0" w:color="auto"/>
            <w:right w:val="none" w:sz="0" w:space="0" w:color="auto"/>
          </w:divBdr>
        </w:div>
        <w:div w:id="1284772198">
          <w:marLeft w:val="0"/>
          <w:marRight w:val="0"/>
          <w:marTop w:val="0"/>
          <w:marBottom w:val="0"/>
          <w:divBdr>
            <w:top w:val="none" w:sz="0" w:space="0" w:color="auto"/>
            <w:left w:val="none" w:sz="0" w:space="0" w:color="auto"/>
            <w:bottom w:val="none" w:sz="0" w:space="0" w:color="auto"/>
            <w:right w:val="none" w:sz="0" w:space="0" w:color="auto"/>
          </w:divBdr>
        </w:div>
        <w:div w:id="1437945825">
          <w:marLeft w:val="0"/>
          <w:marRight w:val="0"/>
          <w:marTop w:val="0"/>
          <w:marBottom w:val="0"/>
          <w:divBdr>
            <w:top w:val="none" w:sz="0" w:space="0" w:color="auto"/>
            <w:left w:val="none" w:sz="0" w:space="0" w:color="auto"/>
            <w:bottom w:val="none" w:sz="0" w:space="0" w:color="auto"/>
            <w:right w:val="none" w:sz="0" w:space="0" w:color="auto"/>
          </w:divBdr>
        </w:div>
        <w:div w:id="1738937432">
          <w:marLeft w:val="0"/>
          <w:marRight w:val="0"/>
          <w:marTop w:val="0"/>
          <w:marBottom w:val="0"/>
          <w:divBdr>
            <w:top w:val="none" w:sz="0" w:space="0" w:color="auto"/>
            <w:left w:val="none" w:sz="0" w:space="0" w:color="auto"/>
            <w:bottom w:val="none" w:sz="0" w:space="0" w:color="auto"/>
            <w:right w:val="none" w:sz="0" w:space="0" w:color="auto"/>
          </w:divBdr>
        </w:div>
        <w:div w:id="1951349927">
          <w:marLeft w:val="0"/>
          <w:marRight w:val="0"/>
          <w:marTop w:val="0"/>
          <w:marBottom w:val="0"/>
          <w:divBdr>
            <w:top w:val="none" w:sz="0" w:space="0" w:color="auto"/>
            <w:left w:val="none" w:sz="0" w:space="0" w:color="auto"/>
            <w:bottom w:val="none" w:sz="0" w:space="0" w:color="auto"/>
            <w:right w:val="none" w:sz="0" w:space="0" w:color="auto"/>
          </w:divBdr>
        </w:div>
      </w:divsChild>
    </w:div>
    <w:div w:id="768695894">
      <w:bodyDiv w:val="1"/>
      <w:marLeft w:val="0"/>
      <w:marRight w:val="0"/>
      <w:marTop w:val="0"/>
      <w:marBottom w:val="0"/>
      <w:divBdr>
        <w:top w:val="none" w:sz="0" w:space="0" w:color="auto"/>
        <w:left w:val="none" w:sz="0" w:space="0" w:color="auto"/>
        <w:bottom w:val="none" w:sz="0" w:space="0" w:color="auto"/>
        <w:right w:val="none" w:sz="0" w:space="0" w:color="auto"/>
      </w:divBdr>
    </w:div>
    <w:div w:id="919221009">
      <w:bodyDiv w:val="1"/>
      <w:marLeft w:val="0"/>
      <w:marRight w:val="0"/>
      <w:marTop w:val="0"/>
      <w:marBottom w:val="0"/>
      <w:divBdr>
        <w:top w:val="none" w:sz="0" w:space="0" w:color="auto"/>
        <w:left w:val="none" w:sz="0" w:space="0" w:color="auto"/>
        <w:bottom w:val="none" w:sz="0" w:space="0" w:color="auto"/>
        <w:right w:val="none" w:sz="0" w:space="0" w:color="auto"/>
      </w:divBdr>
    </w:div>
    <w:div w:id="1176967405">
      <w:bodyDiv w:val="1"/>
      <w:marLeft w:val="0"/>
      <w:marRight w:val="0"/>
      <w:marTop w:val="0"/>
      <w:marBottom w:val="0"/>
      <w:divBdr>
        <w:top w:val="none" w:sz="0" w:space="0" w:color="auto"/>
        <w:left w:val="none" w:sz="0" w:space="0" w:color="auto"/>
        <w:bottom w:val="none" w:sz="0" w:space="0" w:color="auto"/>
        <w:right w:val="none" w:sz="0" w:space="0" w:color="auto"/>
      </w:divBdr>
    </w:div>
    <w:div w:id="1229457171">
      <w:bodyDiv w:val="1"/>
      <w:marLeft w:val="0"/>
      <w:marRight w:val="0"/>
      <w:marTop w:val="0"/>
      <w:marBottom w:val="0"/>
      <w:divBdr>
        <w:top w:val="none" w:sz="0" w:space="0" w:color="auto"/>
        <w:left w:val="none" w:sz="0" w:space="0" w:color="auto"/>
        <w:bottom w:val="none" w:sz="0" w:space="0" w:color="auto"/>
        <w:right w:val="none" w:sz="0" w:space="0" w:color="auto"/>
      </w:divBdr>
    </w:div>
    <w:div w:id="1331366442">
      <w:bodyDiv w:val="1"/>
      <w:marLeft w:val="0"/>
      <w:marRight w:val="0"/>
      <w:marTop w:val="0"/>
      <w:marBottom w:val="0"/>
      <w:divBdr>
        <w:top w:val="none" w:sz="0" w:space="0" w:color="auto"/>
        <w:left w:val="none" w:sz="0" w:space="0" w:color="auto"/>
        <w:bottom w:val="none" w:sz="0" w:space="0" w:color="auto"/>
        <w:right w:val="none" w:sz="0" w:space="0" w:color="auto"/>
      </w:divBdr>
    </w:div>
    <w:div w:id="1958826515">
      <w:bodyDiv w:val="1"/>
      <w:marLeft w:val="0"/>
      <w:marRight w:val="0"/>
      <w:marTop w:val="0"/>
      <w:marBottom w:val="0"/>
      <w:divBdr>
        <w:top w:val="none" w:sz="0" w:space="0" w:color="auto"/>
        <w:left w:val="none" w:sz="0" w:space="0" w:color="auto"/>
        <w:bottom w:val="none" w:sz="0" w:space="0" w:color="auto"/>
        <w:right w:val="none" w:sz="0" w:space="0" w:color="auto"/>
      </w:divBdr>
    </w:div>
    <w:div w:id="2014599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enefitcomply.com/resources/2022/08/03/affordability-considera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rs.gov/pub/irs-drop/rp-23-29.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Custom 7">
      <a:dk1>
        <a:srgbClr val="000000"/>
      </a:dk1>
      <a:lt1>
        <a:srgbClr val="FFFFFF"/>
      </a:lt1>
      <a:dk2>
        <a:srgbClr val="002355"/>
      </a:dk2>
      <a:lt2>
        <a:srgbClr val="EEECE1"/>
      </a:lt2>
      <a:accent1>
        <a:srgbClr val="0B3AF5"/>
      </a:accent1>
      <a:accent2>
        <a:srgbClr val="1774D1"/>
      </a:accent2>
      <a:accent3>
        <a:srgbClr val="04ACDC"/>
      </a:accent3>
      <a:accent4>
        <a:srgbClr val="6BC9C1"/>
      </a:accent4>
      <a:accent5>
        <a:srgbClr val="66B519"/>
      </a:accent5>
      <a:accent6>
        <a:srgbClr val="F99933"/>
      </a:accent6>
      <a:hlink>
        <a:srgbClr val="149FCE"/>
      </a:hlink>
      <a:folHlink>
        <a:srgbClr val="CDC9B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19DA11084BB94C97F3CA92CDAFC6B3" ma:contentTypeVersion="15" ma:contentTypeDescription="Create a new document." ma:contentTypeScope="" ma:versionID="725c06c38d12f76c91c9bb8eee90a9f9">
  <xsd:schema xmlns:xsd="http://www.w3.org/2001/XMLSchema" xmlns:xs="http://www.w3.org/2001/XMLSchema" xmlns:p="http://schemas.microsoft.com/office/2006/metadata/properties" xmlns:ns2="6f4dd139-d5da-4f3b-8198-29478e422370" xmlns:ns3="cacb081c-b966-43bd-b7c8-da36ad9181ac" targetNamespace="http://schemas.microsoft.com/office/2006/metadata/properties" ma:root="true" ma:fieldsID="a5bc5c5cb5885aa12c392e6ec3912e5f" ns2:_="" ns3:_="">
    <xsd:import namespace="6f4dd139-d5da-4f3b-8198-29478e422370"/>
    <xsd:import namespace="cacb081c-b966-43bd-b7c8-da36ad9181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dd139-d5da-4f3b-8198-29478e422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cb081c-b966-43bd-b7c8-da36ad9181ac" elementFormDefault="qualified">
    <xsd:import namespace="http://schemas.microsoft.com/office/2006/documentManagement/types"/>
    <xsd:import namespace="http://schemas.microsoft.com/office/infopath/2007/PartnerControls"/>
    <xsd:element name="SharedWithUsers" ma:index="17"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101292-8960-4B20-A637-D035B02EC1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742C58-210E-4AA0-97DB-F75159EEF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dd139-d5da-4f3b-8198-29478e422370"/>
    <ds:schemaRef ds:uri="cacb081c-b966-43bd-b7c8-da36ad918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5DDA72-0411-4354-8835-A0CF929A5E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3387</Characters>
  <Application>Microsoft Office Word</Application>
  <DocSecurity>0</DocSecurity>
  <Lines>28</Lines>
  <Paragraphs>7</Paragraphs>
  <ScaleCrop>false</ScaleCrop>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Delaney Callahan</dc:creator>
  <cp:keywords/>
  <dc:description/>
  <cp:lastModifiedBy>Anthony Radecki</cp:lastModifiedBy>
  <cp:revision>2</cp:revision>
  <dcterms:created xsi:type="dcterms:W3CDTF">2023-08-23T20:09:00Z</dcterms:created>
  <dcterms:modified xsi:type="dcterms:W3CDTF">2023-08-23T20:09:00Z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0x010100BC19DA11084BB94C97F3CA92CDAFC6B3</vt:lpwstr>
  </property>
</Properties>
</file>