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50D71" w14:textId="0363AF99" w:rsidR="00116B83" w:rsidRPr="00997241" w:rsidRDefault="00116B83" w:rsidP="00997241">
      <w:pPr>
        <w:rPr>
          <w:rFonts w:asciiTheme="minorHAnsi" w:hAnsiTheme="minorHAnsi" w:cstheme="minorHAnsi"/>
        </w:rPr>
      </w:pPr>
      <w:r w:rsidRPr="00C754E4">
        <w:rPr>
          <w:rFonts w:asciiTheme="minorHAnsi" w:hAnsiTheme="minorHAnsi" w:cstheme="minorHAnsi"/>
          <w:noProof/>
        </w:rPr>
        <w:drawing>
          <wp:anchor distT="0" distB="0" distL="114300" distR="114300" simplePos="0" relativeHeight="251660288" behindDoc="1" locked="0" layoutInCell="1" allowOverlap="1" wp14:anchorId="2DB56E4D" wp14:editId="5585A6FA">
            <wp:simplePos x="0" y="0"/>
            <wp:positionH relativeFrom="column">
              <wp:posOffset>-718185</wp:posOffset>
            </wp:positionH>
            <wp:positionV relativeFrom="paragraph">
              <wp:posOffset>-802005</wp:posOffset>
            </wp:positionV>
            <wp:extent cx="8684260" cy="868680"/>
            <wp:effectExtent l="0" t="0" r="2540" b="0"/>
            <wp:wrapNone/>
            <wp:docPr id="2" name="Picture 8" descr="Description: header_pri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Description: header_print"/>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84260" cy="868680"/>
                    </a:xfrm>
                    <a:prstGeom prst="rect">
                      <a:avLst/>
                    </a:prstGeom>
                    <a:noFill/>
                    <a:ln>
                      <a:noFill/>
                    </a:ln>
                  </pic:spPr>
                </pic:pic>
              </a:graphicData>
            </a:graphic>
            <wp14:sizeRelH relativeFrom="page">
              <wp14:pctWidth>0</wp14:pctWidth>
            </wp14:sizeRelH>
            <wp14:sizeRelV relativeFrom="page">
              <wp14:pctHeight>0</wp14:pctHeight>
            </wp14:sizeRelV>
          </wp:anchor>
        </w:drawing>
      </w:r>
      <w:r w:rsidR="00321324" w:rsidRPr="00C754E4">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79AE18EE" wp14:editId="67622E9B">
                <wp:simplePos x="0" y="0"/>
                <wp:positionH relativeFrom="column">
                  <wp:posOffset>3504565</wp:posOffset>
                </wp:positionH>
                <wp:positionV relativeFrom="paragraph">
                  <wp:posOffset>-603250</wp:posOffset>
                </wp:positionV>
                <wp:extent cx="2895600" cy="39941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95600" cy="399415"/>
                        </a:xfrm>
                        <a:prstGeom prst="rect">
                          <a:avLst/>
                        </a:prstGeom>
                        <a:noFill/>
                        <a:ln>
                          <a:noFill/>
                        </a:ln>
                      </wps:spPr>
                      <wps:txbx>
                        <w:txbxContent>
                          <w:p w14:paraId="355505FF" w14:textId="6454D1E1" w:rsidR="00321324" w:rsidRPr="00D636DB" w:rsidRDefault="00321324" w:rsidP="00321324">
                            <w:pPr>
                              <w:jc w:val="righ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9AE18EE" id="_x0000_t202" coordsize="21600,21600" o:spt="202" path="m,l,21600r21600,l21600,xe">
                <v:stroke joinstyle="miter"/>
                <v:path gradientshapeok="t" o:connecttype="rect"/>
              </v:shapetype>
              <v:shape id="Text Box 9" o:spid="_x0000_s1026" type="#_x0000_t202" style="position:absolute;margin-left:275.95pt;margin-top:-47.5pt;width:228pt;height:3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" filled="f" stroked="f">
                <v:textbox>
                  <w:txbxContent>
                    <w:p w14:paraId="355505FF" w14:textId="6454D1E1" w:rsidR="00321324" w:rsidRPr="00D636DB" w:rsidRDefault="00321324" w:rsidP="00321324">
                      <w:pPr>
                        <w:jc w:val="right"/>
                      </w:pPr>
                    </w:p>
                  </w:txbxContent>
                </v:textbox>
              </v:shape>
            </w:pict>
          </mc:Fallback>
        </mc:AlternateContent>
      </w:r>
    </w:p>
    <w:p w14:paraId="6F980E60" w14:textId="77777777" w:rsidR="00116B83" w:rsidRDefault="00116B83" w:rsidP="00BE30C2">
      <w:pPr>
        <w:pStyle w:val="Heading1"/>
      </w:pPr>
    </w:p>
    <w:p w14:paraId="29BD21D7" w14:textId="64C18855" w:rsidR="00BE30C2" w:rsidRDefault="006F6E49" w:rsidP="00BE30C2">
      <w:pPr>
        <w:pStyle w:val="Heading1"/>
      </w:pPr>
      <w:r w:rsidRPr="006F6E49">
        <w:t>Ensuring Compliance with Surprise Billing, Transparency, and Cost Reporting</w:t>
      </w:r>
    </w:p>
    <w:p w14:paraId="1F116ECD" w14:textId="6345A005" w:rsidR="00AC0F74" w:rsidRPr="00C7678F" w:rsidRDefault="00AC0F74" w:rsidP="00AC0F74">
      <w:pPr>
        <w:rPr>
          <w:b/>
          <w:bCs/>
          <w:i/>
          <w:iCs/>
          <w:sz w:val="22"/>
          <w:szCs w:val="22"/>
        </w:rPr>
      </w:pPr>
      <w:r w:rsidRPr="00C7678F">
        <w:rPr>
          <w:b/>
          <w:bCs/>
          <w:i/>
          <w:iCs/>
          <w:sz w:val="22"/>
          <w:szCs w:val="22"/>
        </w:rPr>
        <w:t>A Checklist for Employers Offering Self-</w:t>
      </w:r>
      <w:r w:rsidR="00CB5F51">
        <w:rPr>
          <w:b/>
          <w:bCs/>
          <w:i/>
          <w:iCs/>
          <w:sz w:val="22"/>
          <w:szCs w:val="22"/>
        </w:rPr>
        <w:t>Insur</w:t>
      </w:r>
      <w:r w:rsidRPr="00C7678F">
        <w:rPr>
          <w:b/>
          <w:bCs/>
          <w:i/>
          <w:iCs/>
          <w:sz w:val="22"/>
          <w:szCs w:val="22"/>
        </w:rPr>
        <w:t>ed Group Health Plan Coverage</w:t>
      </w:r>
    </w:p>
    <w:p w14:paraId="03FA4DD4" w14:textId="77777777" w:rsidR="006E586D" w:rsidRPr="006E586D" w:rsidRDefault="006E586D" w:rsidP="006E586D"/>
    <w:p w14:paraId="637B1D9A" w14:textId="7E15A17D" w:rsidR="00351069" w:rsidRPr="00043BD0" w:rsidRDefault="00BE30C2" w:rsidP="00043BD0">
      <w:pPr>
        <w:pStyle w:val="Heading1"/>
        <w:rPr>
          <w:rFonts w:asciiTheme="minorHAnsi" w:hAnsiTheme="minorHAnsi" w:cstheme="minorHAnsi"/>
          <w:sz w:val="22"/>
          <w:szCs w:val="22"/>
        </w:rPr>
      </w:pPr>
      <w:r w:rsidRPr="00C73D24">
        <w:rPr>
          <w:rFonts w:asciiTheme="minorHAnsi" w:hAnsiTheme="minorHAnsi" w:cstheme="minorHAnsi"/>
          <w:sz w:val="22"/>
          <w:szCs w:val="22"/>
        </w:rPr>
        <w:t xml:space="preserve"> </w:t>
      </w:r>
      <w:r w:rsidR="00321324" w:rsidRPr="00C73D24">
        <w:rPr>
          <w:rFonts w:asciiTheme="minorHAnsi" w:hAnsiTheme="minorHAnsi" w:cstheme="minorHAnsi"/>
          <w:sz w:val="22"/>
          <w:szCs w:val="22"/>
        </w:rPr>
        <w:t xml:space="preserve">Issue Date: </w:t>
      </w:r>
      <w:bookmarkStart w:id="0" w:name="HCRFRMq3954z1"/>
      <w:bookmarkStart w:id="1" w:name="cade1d0c15d56417b0acf4d5c34e0612"/>
      <w:bookmarkStart w:id="2" w:name="HCRFRMq3955z1"/>
      <w:bookmarkStart w:id="3" w:name="9d57e226c5f9617ecddae46a52220818"/>
      <w:bookmarkEnd w:id="0"/>
      <w:bookmarkEnd w:id="1"/>
      <w:bookmarkEnd w:id="2"/>
      <w:bookmarkEnd w:id="3"/>
      <w:r w:rsidR="00707678">
        <w:rPr>
          <w:rFonts w:asciiTheme="minorHAnsi" w:hAnsiTheme="minorHAnsi" w:cstheme="minorHAnsi"/>
          <w:sz w:val="22"/>
          <w:szCs w:val="22"/>
        </w:rPr>
        <w:t>March 2023</w:t>
      </w:r>
    </w:p>
    <w:p w14:paraId="68A2B6A8" w14:textId="595E02AE" w:rsidR="005320FC" w:rsidRDefault="00351069" w:rsidP="00014849">
      <w:pPr>
        <w:shd w:val="clear" w:color="auto" w:fill="FFFFFF"/>
        <w:tabs>
          <w:tab w:val="num" w:pos="720"/>
        </w:tabs>
        <w:spacing w:before="100" w:beforeAutospacing="1" w:after="100" w:afterAutospacing="1"/>
        <w:rPr>
          <w:rFonts w:eastAsia="Times New Roman"/>
          <w:color w:val="3B3838" w:themeColor="background2" w:themeShade="40"/>
          <w:lang w:bidi="ar-SA"/>
        </w:rPr>
      </w:pPr>
      <w:r w:rsidRPr="00351069">
        <w:rPr>
          <w:rFonts w:eastAsia="Times New Roman"/>
          <w:color w:val="3B3838" w:themeColor="background2" w:themeShade="40"/>
          <w:lang w:bidi="ar-SA"/>
        </w:rPr>
        <w:t>The Consolidated Appropriations Act (CAA), No Surprises Act (NSA), and the Transparency in Coverage Final Rule (TiC Final Rule) impose several new requirements on group health plans</w:t>
      </w:r>
      <w:r w:rsidR="008946C5">
        <w:rPr>
          <w:rFonts w:eastAsia="Times New Roman"/>
          <w:color w:val="3B3838" w:themeColor="background2" w:themeShade="40"/>
          <w:lang w:bidi="ar-SA"/>
        </w:rPr>
        <w:t xml:space="preserve">. For </w:t>
      </w:r>
      <w:r w:rsidR="00921F60">
        <w:rPr>
          <w:rFonts w:eastAsia="Times New Roman"/>
          <w:color w:val="3B3838" w:themeColor="background2" w:themeShade="40"/>
          <w:lang w:bidi="ar-SA"/>
        </w:rPr>
        <w:t xml:space="preserve">a </w:t>
      </w:r>
      <w:r w:rsidR="008946C5">
        <w:rPr>
          <w:rFonts w:eastAsia="Times New Roman"/>
          <w:color w:val="3B3838" w:themeColor="background2" w:themeShade="40"/>
          <w:lang w:bidi="ar-SA"/>
        </w:rPr>
        <w:t xml:space="preserve">fully-insured plan, the carrier will typically </w:t>
      </w:r>
      <w:r w:rsidR="001A367B">
        <w:rPr>
          <w:rFonts w:eastAsia="Times New Roman"/>
          <w:color w:val="3B3838" w:themeColor="background2" w:themeShade="40"/>
          <w:lang w:bidi="ar-SA"/>
        </w:rPr>
        <w:t>handle the additional requirements</w:t>
      </w:r>
      <w:r w:rsidRPr="00351069">
        <w:rPr>
          <w:rFonts w:eastAsia="Times New Roman"/>
          <w:color w:val="3B3838" w:themeColor="background2" w:themeShade="40"/>
          <w:lang w:bidi="ar-SA"/>
        </w:rPr>
        <w:t xml:space="preserve">. </w:t>
      </w:r>
      <w:r w:rsidR="00921F60">
        <w:rPr>
          <w:rFonts w:eastAsia="Times New Roman"/>
          <w:color w:val="3B3838" w:themeColor="background2" w:themeShade="40"/>
          <w:lang w:bidi="ar-SA"/>
        </w:rPr>
        <w:t>For</w:t>
      </w:r>
      <w:r w:rsidRPr="00351069">
        <w:rPr>
          <w:rFonts w:eastAsia="Times New Roman"/>
          <w:color w:val="3B3838" w:themeColor="background2" w:themeShade="40"/>
          <w:lang w:bidi="ar-SA"/>
        </w:rPr>
        <w:t xml:space="preserve"> a self-insured plan, the responsibility of compliance lies with the employer as the plan sponsor. However, many of the requirements force employers to rely on their Third-Party Administrator (TPA) </w:t>
      </w:r>
      <w:r w:rsidR="004379C2">
        <w:rPr>
          <w:rFonts w:eastAsia="Times New Roman"/>
          <w:color w:val="3B3838" w:themeColor="background2" w:themeShade="40"/>
          <w:lang w:bidi="ar-SA"/>
        </w:rPr>
        <w:t xml:space="preserve">and others </w:t>
      </w:r>
      <w:r w:rsidRPr="00351069">
        <w:rPr>
          <w:rFonts w:eastAsia="Times New Roman"/>
          <w:color w:val="3B3838" w:themeColor="background2" w:themeShade="40"/>
          <w:lang w:bidi="ar-SA"/>
        </w:rPr>
        <w:t xml:space="preserve">to implement appropriate measures to comply with these new requirements. </w:t>
      </w:r>
    </w:p>
    <w:p w14:paraId="6F6BDF4F" w14:textId="59D452AC" w:rsidR="00351069" w:rsidRDefault="00014849" w:rsidP="00014849">
      <w:pPr>
        <w:shd w:val="clear" w:color="auto" w:fill="FFFFFF"/>
        <w:tabs>
          <w:tab w:val="num" w:pos="720"/>
        </w:tabs>
        <w:spacing w:before="100" w:beforeAutospacing="1" w:after="100" w:afterAutospacing="1"/>
        <w:rPr>
          <w:rFonts w:eastAsia="Times New Roman"/>
          <w:color w:val="3B3838" w:themeColor="background2" w:themeShade="40"/>
          <w:lang w:bidi="ar-SA"/>
        </w:rPr>
      </w:pPr>
      <w:r>
        <w:rPr>
          <w:rFonts w:eastAsia="Times New Roman"/>
          <w:color w:val="3B3838" w:themeColor="background2" w:themeShade="40"/>
          <w:lang w:bidi="ar-SA"/>
        </w:rPr>
        <w:t xml:space="preserve">The following is a checklist of the various transparency requirements to assist </w:t>
      </w:r>
      <w:r w:rsidR="00D85D7C">
        <w:rPr>
          <w:rFonts w:eastAsia="Times New Roman"/>
          <w:color w:val="3B3838" w:themeColor="background2" w:themeShade="40"/>
          <w:lang w:bidi="ar-SA"/>
        </w:rPr>
        <w:t>employers</w:t>
      </w:r>
      <w:r w:rsidR="00E34D79">
        <w:rPr>
          <w:rFonts w:eastAsia="Times New Roman"/>
          <w:color w:val="3B3838" w:themeColor="background2" w:themeShade="40"/>
          <w:lang w:bidi="ar-SA"/>
        </w:rPr>
        <w:t xml:space="preserve"> </w:t>
      </w:r>
      <w:r w:rsidR="003A5D16">
        <w:rPr>
          <w:rFonts w:eastAsia="Times New Roman"/>
          <w:color w:val="3B3838" w:themeColor="background2" w:themeShade="40"/>
          <w:lang w:bidi="ar-SA"/>
        </w:rPr>
        <w:t>who offer</w:t>
      </w:r>
      <w:r w:rsidR="00E34D79">
        <w:rPr>
          <w:rFonts w:eastAsia="Times New Roman"/>
          <w:color w:val="3B3838" w:themeColor="background2" w:themeShade="40"/>
          <w:lang w:bidi="ar-SA"/>
        </w:rPr>
        <w:t xml:space="preserve"> self-insured group health plans</w:t>
      </w:r>
      <w:r w:rsidR="00D85D7C">
        <w:rPr>
          <w:rFonts w:eastAsia="Times New Roman"/>
          <w:color w:val="3B3838" w:themeColor="background2" w:themeShade="40"/>
          <w:lang w:bidi="ar-SA"/>
        </w:rPr>
        <w:t xml:space="preserve"> in </w:t>
      </w:r>
      <w:r w:rsidR="00C41E2E">
        <w:rPr>
          <w:rFonts w:eastAsia="Times New Roman"/>
          <w:color w:val="3B3838" w:themeColor="background2" w:themeShade="40"/>
          <w:lang w:bidi="ar-SA"/>
        </w:rPr>
        <w:t>determining</w:t>
      </w:r>
      <w:r w:rsidR="00D85D7C">
        <w:rPr>
          <w:rFonts w:eastAsia="Times New Roman"/>
          <w:color w:val="3B3838" w:themeColor="background2" w:themeShade="40"/>
          <w:lang w:bidi="ar-SA"/>
        </w:rPr>
        <w:t xml:space="preserve"> which items the TPA will handle on their behalf and which </w:t>
      </w:r>
      <w:r w:rsidR="0067296A">
        <w:rPr>
          <w:rFonts w:eastAsia="Times New Roman"/>
          <w:color w:val="3B3838" w:themeColor="background2" w:themeShade="40"/>
          <w:lang w:bidi="ar-SA"/>
        </w:rPr>
        <w:t>things the employer is responsible for handling on their own (or for finding another solution).</w:t>
      </w:r>
      <w:r w:rsidR="00075EAF">
        <w:rPr>
          <w:rFonts w:eastAsia="Times New Roman"/>
          <w:color w:val="3B3838" w:themeColor="background2" w:themeShade="40"/>
          <w:lang w:bidi="ar-SA"/>
        </w:rPr>
        <w:t xml:space="preserve"> It would also be appropriate to confirm what costs, if any, </w:t>
      </w:r>
      <w:r w:rsidR="0080124C">
        <w:rPr>
          <w:rFonts w:eastAsia="Times New Roman"/>
          <w:color w:val="3B3838" w:themeColor="background2" w:themeShade="40"/>
          <w:lang w:bidi="ar-SA"/>
        </w:rPr>
        <w:t xml:space="preserve">may apply for the TPAs assistance </w:t>
      </w:r>
      <w:r w:rsidR="004F2CCB">
        <w:rPr>
          <w:rFonts w:eastAsia="Times New Roman"/>
          <w:color w:val="3B3838" w:themeColor="background2" w:themeShade="40"/>
          <w:lang w:bidi="ar-SA"/>
        </w:rPr>
        <w:t>with the requirements described below.</w:t>
      </w:r>
    </w:p>
    <w:p w14:paraId="41746AC6" w14:textId="77777777" w:rsidR="007901C2" w:rsidRPr="00351069" w:rsidRDefault="007901C2" w:rsidP="00014849">
      <w:pPr>
        <w:shd w:val="clear" w:color="auto" w:fill="FFFFFF"/>
        <w:tabs>
          <w:tab w:val="num" w:pos="720"/>
        </w:tabs>
        <w:spacing w:before="100" w:beforeAutospacing="1" w:after="100" w:afterAutospacing="1"/>
        <w:rPr>
          <w:rFonts w:eastAsiaTheme="minorHAnsi"/>
          <w:color w:val="3B3838" w:themeColor="background2" w:themeShade="40"/>
          <w:lang w:bidi="ar-SA"/>
        </w:rPr>
      </w:pPr>
    </w:p>
    <w:p w14:paraId="1862C91F" w14:textId="77777777" w:rsidR="00351069" w:rsidRPr="00351069" w:rsidRDefault="00351069" w:rsidP="00351069">
      <w:pPr>
        <w:numPr>
          <w:ilvl w:val="0"/>
          <w:numId w:val="14"/>
        </w:numPr>
        <w:spacing w:after="160" w:line="276" w:lineRule="auto"/>
        <w:contextualSpacing/>
        <w:rPr>
          <w:rFonts w:eastAsiaTheme="minorHAnsi"/>
          <w:color w:val="3B3838" w:themeColor="background2" w:themeShade="40"/>
          <w:sz w:val="22"/>
          <w:szCs w:val="22"/>
          <w:lang w:bidi="ar-SA"/>
        </w:rPr>
      </w:pPr>
      <w:r w:rsidRPr="00351069">
        <w:rPr>
          <w:rFonts w:eastAsiaTheme="minorHAnsi"/>
          <w:b/>
          <w:bCs/>
          <w:color w:val="3B3838" w:themeColor="background2" w:themeShade="40"/>
          <w:sz w:val="22"/>
          <w:szCs w:val="22"/>
          <w:lang w:bidi="ar-SA"/>
        </w:rPr>
        <w:t>No Gag Clause in Provider Contracts</w:t>
      </w:r>
      <w:r w:rsidRPr="00351069">
        <w:rPr>
          <w:rFonts w:eastAsiaTheme="minorHAnsi"/>
          <w:color w:val="3B3838" w:themeColor="background2" w:themeShade="40"/>
          <w:sz w:val="22"/>
          <w:szCs w:val="22"/>
          <w:lang w:bidi="ar-SA"/>
        </w:rPr>
        <w:t xml:space="preserve"> - </w:t>
      </w:r>
      <w:r w:rsidRPr="00351069">
        <w:rPr>
          <w:rFonts w:eastAsiaTheme="minorHAnsi"/>
          <w:i/>
          <w:iCs/>
          <w:color w:val="000000" w:themeColor="text1"/>
          <w:sz w:val="22"/>
          <w:szCs w:val="22"/>
          <w:lang w:bidi="ar-SA"/>
        </w:rPr>
        <w:t>Effective on December 27, 2020</w:t>
      </w:r>
    </w:p>
    <w:p w14:paraId="20CA61A3" w14:textId="5642C033" w:rsidR="00351069" w:rsidRPr="00351069" w:rsidRDefault="00351069" w:rsidP="001450BA">
      <w:pPr>
        <w:spacing w:after="240" w:line="276" w:lineRule="auto"/>
        <w:rPr>
          <w:rFonts w:eastAsiaTheme="minorHAnsi"/>
          <w:color w:val="3B3838" w:themeColor="background2" w:themeShade="40"/>
          <w:lang w:bidi="ar-SA"/>
        </w:rPr>
      </w:pPr>
      <w:r w:rsidRPr="00351069">
        <w:rPr>
          <w:rFonts w:eastAsiaTheme="minorHAnsi"/>
          <w:color w:val="3B3838" w:themeColor="background2" w:themeShade="40"/>
          <w:lang w:bidi="ar-SA"/>
        </w:rPr>
        <w:t xml:space="preserve">All gag clauses </w:t>
      </w:r>
      <w:r w:rsidR="002E59C2">
        <w:rPr>
          <w:rFonts w:eastAsiaTheme="minorHAnsi"/>
          <w:color w:val="3B3838" w:themeColor="background2" w:themeShade="40"/>
          <w:lang w:bidi="ar-SA"/>
        </w:rPr>
        <w:t>must be</w:t>
      </w:r>
      <w:r w:rsidRPr="00351069">
        <w:rPr>
          <w:rFonts w:eastAsiaTheme="minorHAnsi"/>
          <w:color w:val="3B3838" w:themeColor="background2" w:themeShade="40"/>
          <w:lang w:bidi="ar-SA"/>
        </w:rPr>
        <w:t xml:space="preserve"> removed from relevant provider cont</w:t>
      </w:r>
      <w:r w:rsidR="00664CD0">
        <w:rPr>
          <w:rFonts w:eastAsiaTheme="minorHAnsi"/>
          <w:color w:val="3B3838" w:themeColor="background2" w:themeShade="40"/>
          <w:lang w:bidi="ar-SA"/>
        </w:rPr>
        <w:t>r</w:t>
      </w:r>
      <w:r w:rsidRPr="00351069">
        <w:rPr>
          <w:rFonts w:eastAsiaTheme="minorHAnsi"/>
          <w:color w:val="3B3838" w:themeColor="background2" w:themeShade="40"/>
          <w:lang w:bidi="ar-SA"/>
        </w:rPr>
        <w:t>acts.</w:t>
      </w:r>
      <w:r w:rsidR="00C41E2E">
        <w:rPr>
          <w:rFonts w:eastAsiaTheme="minorHAnsi"/>
          <w:color w:val="3B3838" w:themeColor="background2" w:themeShade="40"/>
          <w:lang w:bidi="ar-SA"/>
        </w:rPr>
        <w:t xml:space="preserve"> </w:t>
      </w:r>
      <w:r w:rsidR="004707DF">
        <w:rPr>
          <w:rFonts w:eastAsiaTheme="minorHAnsi"/>
          <w:color w:val="3B3838" w:themeColor="background2" w:themeShade="40"/>
          <w:lang w:bidi="ar-SA"/>
        </w:rPr>
        <w:t>In addition, e</w:t>
      </w:r>
      <w:r w:rsidR="004707DF" w:rsidRPr="004707DF">
        <w:rPr>
          <w:rFonts w:eastAsiaTheme="minorHAnsi"/>
          <w:color w:val="3B3838" w:themeColor="background2" w:themeShade="40"/>
          <w:lang w:bidi="ar-SA"/>
        </w:rPr>
        <w:t xml:space="preserve">ffective </w:t>
      </w:r>
      <w:r w:rsidR="004707DF">
        <w:rPr>
          <w:rFonts w:eastAsiaTheme="minorHAnsi"/>
          <w:color w:val="3B3838" w:themeColor="background2" w:themeShade="40"/>
          <w:lang w:bidi="ar-SA"/>
        </w:rPr>
        <w:t xml:space="preserve">starting </w:t>
      </w:r>
      <w:r w:rsidR="004707DF" w:rsidRPr="004707DF">
        <w:rPr>
          <w:rFonts w:eastAsiaTheme="minorHAnsi"/>
          <w:color w:val="3B3838" w:themeColor="background2" w:themeShade="40"/>
          <w:lang w:bidi="ar-SA"/>
        </w:rPr>
        <w:t>in 202</w:t>
      </w:r>
      <w:r w:rsidR="00707678">
        <w:rPr>
          <w:rFonts w:eastAsiaTheme="minorHAnsi"/>
          <w:color w:val="3B3838" w:themeColor="background2" w:themeShade="40"/>
          <w:lang w:bidi="ar-SA"/>
        </w:rPr>
        <w:t>3</w:t>
      </w:r>
      <w:r w:rsidR="004707DF" w:rsidRPr="004707DF">
        <w:rPr>
          <w:rFonts w:eastAsiaTheme="minorHAnsi"/>
          <w:color w:val="3B3838" w:themeColor="background2" w:themeShade="40"/>
          <w:lang w:bidi="ar-SA"/>
        </w:rPr>
        <w:t>, carriers and health plans must submit an annual attestation of compliance</w:t>
      </w:r>
      <w:r w:rsidR="001450BA">
        <w:rPr>
          <w:rFonts w:eastAsiaTheme="minorHAnsi"/>
          <w:color w:val="3B3838" w:themeColor="background2" w:themeShade="40"/>
          <w:lang w:bidi="ar-SA"/>
        </w:rPr>
        <w:t xml:space="preserve"> </w:t>
      </w:r>
      <w:r w:rsidR="004707DF" w:rsidRPr="004707DF">
        <w:rPr>
          <w:rFonts w:eastAsiaTheme="minorHAnsi"/>
          <w:color w:val="3B3838" w:themeColor="background2" w:themeShade="40"/>
          <w:lang w:bidi="ar-SA"/>
        </w:rPr>
        <w:t>with the prohibition on gag clauses in provider</w:t>
      </w:r>
      <w:r w:rsidR="001450BA">
        <w:rPr>
          <w:rFonts w:eastAsiaTheme="minorHAnsi"/>
          <w:color w:val="3B3838" w:themeColor="background2" w:themeShade="40"/>
          <w:lang w:bidi="ar-SA"/>
        </w:rPr>
        <w:t xml:space="preserve"> </w:t>
      </w:r>
      <w:r w:rsidR="004707DF" w:rsidRPr="004707DF">
        <w:rPr>
          <w:rFonts w:eastAsiaTheme="minorHAnsi"/>
          <w:color w:val="3B3838" w:themeColor="background2" w:themeShade="40"/>
          <w:lang w:bidi="ar-SA"/>
        </w:rPr>
        <w:t>reimbursement contracts.</w:t>
      </w:r>
      <w:r w:rsidR="00707678">
        <w:rPr>
          <w:rFonts w:eastAsiaTheme="minorHAnsi"/>
          <w:color w:val="3B3838" w:themeColor="background2" w:themeShade="40"/>
          <w:lang w:bidi="ar-SA"/>
        </w:rPr>
        <w:t xml:space="preserve"> The attestation is due each December 31</w:t>
      </w:r>
      <w:r w:rsidR="00707678" w:rsidRPr="00707678">
        <w:rPr>
          <w:rFonts w:eastAsiaTheme="minorHAnsi"/>
          <w:color w:val="3B3838" w:themeColor="background2" w:themeShade="40"/>
          <w:vertAlign w:val="superscript"/>
          <w:lang w:bidi="ar-SA"/>
        </w:rPr>
        <w:t>st</w:t>
      </w:r>
      <w:r w:rsidR="00707678">
        <w:rPr>
          <w:rFonts w:eastAsiaTheme="minorHAnsi"/>
          <w:color w:val="3B3838" w:themeColor="background2" w:themeShade="40"/>
          <w:lang w:bidi="ar-SA"/>
        </w:rPr>
        <w:t>.</w:t>
      </w:r>
    </w:p>
    <w:p w14:paraId="0F10669C" w14:textId="5355BBF2" w:rsidR="00351069" w:rsidRPr="002A0E66" w:rsidRDefault="00DA5C02" w:rsidP="00624804">
      <w:pPr>
        <w:numPr>
          <w:ilvl w:val="0"/>
          <w:numId w:val="15"/>
        </w:numPr>
        <w:spacing w:before="240" w:after="160" w:line="276" w:lineRule="auto"/>
        <w:contextualSpacing/>
        <w:rPr>
          <w:rFonts w:eastAsiaTheme="minorHAnsi"/>
          <w:color w:val="3B3838" w:themeColor="background2" w:themeShade="40"/>
          <w:lang w:bidi="ar-SA"/>
        </w:rPr>
      </w:pPr>
      <w:r w:rsidRPr="002A0E66">
        <w:rPr>
          <w:rFonts w:eastAsiaTheme="minorHAnsi"/>
          <w:color w:val="3B3838" w:themeColor="background2" w:themeShade="40"/>
          <w:lang w:bidi="ar-SA"/>
        </w:rPr>
        <w:t xml:space="preserve">Confirm </w:t>
      </w:r>
      <w:r w:rsidR="000649F3" w:rsidRPr="002A0E66">
        <w:rPr>
          <w:rFonts w:eastAsiaTheme="minorHAnsi"/>
          <w:color w:val="3B3838" w:themeColor="background2" w:themeShade="40"/>
          <w:lang w:bidi="ar-SA"/>
        </w:rPr>
        <w:t xml:space="preserve">the </w:t>
      </w:r>
      <w:r w:rsidR="006C6FDE" w:rsidRPr="002A0E66">
        <w:rPr>
          <w:rFonts w:eastAsiaTheme="minorHAnsi"/>
          <w:color w:val="3B3838" w:themeColor="background2" w:themeShade="40"/>
          <w:lang w:bidi="ar-SA"/>
        </w:rPr>
        <w:t>TPA</w:t>
      </w:r>
      <w:r w:rsidR="00A674C7" w:rsidRPr="002A0E66">
        <w:rPr>
          <w:rFonts w:eastAsiaTheme="minorHAnsi"/>
          <w:color w:val="3B3838" w:themeColor="background2" w:themeShade="40"/>
          <w:lang w:bidi="ar-SA"/>
        </w:rPr>
        <w:t xml:space="preserve"> will assist in making sure that provider contracts </w:t>
      </w:r>
      <w:r w:rsidR="000649F3" w:rsidRPr="002A0E66">
        <w:rPr>
          <w:rFonts w:eastAsiaTheme="minorHAnsi"/>
          <w:color w:val="3B3838" w:themeColor="background2" w:themeShade="40"/>
          <w:lang w:bidi="ar-SA"/>
        </w:rPr>
        <w:t>do not contain any gag clauses</w:t>
      </w:r>
    </w:p>
    <w:p w14:paraId="1E9A401C" w14:textId="409098DB" w:rsidR="00351069" w:rsidRPr="002A0E66" w:rsidRDefault="000649F3" w:rsidP="001776E3">
      <w:pPr>
        <w:numPr>
          <w:ilvl w:val="0"/>
          <w:numId w:val="15"/>
        </w:numPr>
        <w:spacing w:after="160" w:line="276" w:lineRule="auto"/>
        <w:contextualSpacing/>
        <w:rPr>
          <w:rFonts w:eastAsiaTheme="minorHAnsi"/>
          <w:color w:val="3B3838" w:themeColor="background2" w:themeShade="40"/>
          <w:lang w:bidi="ar-SA"/>
        </w:rPr>
      </w:pPr>
      <w:r w:rsidRPr="002A0E66">
        <w:rPr>
          <w:rFonts w:eastAsiaTheme="minorHAnsi"/>
          <w:color w:val="3B3838" w:themeColor="background2" w:themeShade="40"/>
          <w:lang w:bidi="ar-SA"/>
        </w:rPr>
        <w:t xml:space="preserve">Confirm </w:t>
      </w:r>
      <w:r w:rsidR="00707678">
        <w:rPr>
          <w:rFonts w:eastAsiaTheme="minorHAnsi"/>
          <w:color w:val="3B3838" w:themeColor="background2" w:themeShade="40"/>
          <w:lang w:bidi="ar-SA"/>
        </w:rPr>
        <w:t>in writing (in the TPA contract or otherwise) that</w:t>
      </w:r>
      <w:r w:rsidR="00707678" w:rsidRPr="002A0E66">
        <w:rPr>
          <w:rFonts w:eastAsiaTheme="minorHAnsi"/>
          <w:color w:val="3B3838" w:themeColor="background2" w:themeShade="40"/>
          <w:lang w:bidi="ar-SA"/>
        </w:rPr>
        <w:t xml:space="preserve"> </w:t>
      </w:r>
      <w:r w:rsidRPr="002A0E66">
        <w:rPr>
          <w:rFonts w:eastAsiaTheme="minorHAnsi"/>
          <w:color w:val="3B3838" w:themeColor="background2" w:themeShade="40"/>
          <w:lang w:bidi="ar-SA"/>
        </w:rPr>
        <w:t>the TPA will submit a</w:t>
      </w:r>
      <w:r w:rsidR="001776E3" w:rsidRPr="002A0E66">
        <w:rPr>
          <w:rFonts w:eastAsiaTheme="minorHAnsi"/>
          <w:color w:val="3B3838" w:themeColor="background2" w:themeShade="40"/>
          <w:lang w:bidi="ar-SA"/>
        </w:rPr>
        <w:t>n annual attestation of compliance</w:t>
      </w:r>
      <w:r w:rsidR="00707678">
        <w:rPr>
          <w:rFonts w:eastAsiaTheme="minorHAnsi"/>
          <w:color w:val="3B3838" w:themeColor="background2" w:themeShade="40"/>
          <w:lang w:bidi="ar-SA"/>
        </w:rPr>
        <w:t xml:space="preserve"> each December 31</w:t>
      </w:r>
      <w:r w:rsidR="00707678" w:rsidRPr="00707678">
        <w:rPr>
          <w:rFonts w:eastAsiaTheme="minorHAnsi"/>
          <w:color w:val="3B3838" w:themeColor="background2" w:themeShade="40"/>
          <w:vertAlign w:val="superscript"/>
          <w:lang w:bidi="ar-SA"/>
        </w:rPr>
        <w:t>st</w:t>
      </w:r>
      <w:r w:rsidR="00707678">
        <w:rPr>
          <w:rFonts w:eastAsiaTheme="minorHAnsi"/>
          <w:color w:val="3B3838" w:themeColor="background2" w:themeShade="40"/>
          <w:lang w:bidi="ar-SA"/>
        </w:rPr>
        <w:t xml:space="preserve"> </w:t>
      </w:r>
    </w:p>
    <w:p w14:paraId="1E9A2D38" w14:textId="77777777" w:rsidR="00351069" w:rsidRPr="00950FCF" w:rsidRDefault="00351069" w:rsidP="00351069">
      <w:pPr>
        <w:spacing w:after="160" w:line="276" w:lineRule="auto"/>
        <w:ind w:left="720"/>
        <w:contextualSpacing/>
        <w:rPr>
          <w:rFonts w:eastAsiaTheme="minorHAnsi"/>
          <w:color w:val="3B3838" w:themeColor="background2" w:themeShade="40"/>
          <w:lang w:bidi="ar-SA"/>
        </w:rPr>
      </w:pPr>
    </w:p>
    <w:p w14:paraId="1BC575EB" w14:textId="77777777" w:rsidR="00351069" w:rsidRPr="00950FCF" w:rsidRDefault="00351069" w:rsidP="00351069">
      <w:pPr>
        <w:spacing w:after="160" w:line="276" w:lineRule="auto"/>
        <w:ind w:left="720"/>
        <w:contextualSpacing/>
        <w:rPr>
          <w:rFonts w:eastAsiaTheme="minorHAnsi"/>
          <w:color w:val="3B3838" w:themeColor="background2" w:themeShade="40"/>
          <w:lang w:bidi="ar-SA"/>
        </w:rPr>
      </w:pPr>
    </w:p>
    <w:p w14:paraId="0149712C" w14:textId="62CD7023" w:rsidR="00351069" w:rsidRPr="00351069" w:rsidRDefault="00351069" w:rsidP="00351069">
      <w:pPr>
        <w:numPr>
          <w:ilvl w:val="0"/>
          <w:numId w:val="14"/>
        </w:numPr>
        <w:spacing w:after="160" w:line="276" w:lineRule="auto"/>
        <w:contextualSpacing/>
        <w:rPr>
          <w:rFonts w:eastAsiaTheme="minorHAnsi"/>
          <w:b/>
          <w:bCs/>
          <w:color w:val="000000" w:themeColor="text1"/>
          <w:sz w:val="22"/>
          <w:szCs w:val="22"/>
          <w:lang w:bidi="ar-SA"/>
        </w:rPr>
      </w:pPr>
      <w:r w:rsidRPr="00351069">
        <w:rPr>
          <w:rFonts w:eastAsiaTheme="minorHAnsi"/>
          <w:b/>
          <w:bCs/>
          <w:color w:val="3B3838" w:themeColor="background2" w:themeShade="40"/>
          <w:sz w:val="22"/>
          <w:szCs w:val="22"/>
          <w:lang w:bidi="ar-SA"/>
        </w:rPr>
        <w:t xml:space="preserve">ID </w:t>
      </w:r>
      <w:r w:rsidR="002A0E66">
        <w:rPr>
          <w:rFonts w:eastAsiaTheme="minorHAnsi"/>
          <w:b/>
          <w:bCs/>
          <w:color w:val="3B3838" w:themeColor="background2" w:themeShade="40"/>
          <w:sz w:val="22"/>
          <w:szCs w:val="22"/>
          <w:lang w:bidi="ar-SA"/>
        </w:rPr>
        <w:t>Cards /</w:t>
      </w:r>
      <w:r w:rsidRPr="00351069">
        <w:rPr>
          <w:rFonts w:eastAsiaTheme="minorHAnsi"/>
          <w:b/>
          <w:bCs/>
          <w:color w:val="3B3838" w:themeColor="background2" w:themeShade="40"/>
          <w:sz w:val="22"/>
          <w:szCs w:val="22"/>
          <w:lang w:bidi="ar-SA"/>
        </w:rPr>
        <w:t xml:space="preserve"> Provider Directory Accuracy - </w:t>
      </w:r>
      <w:r w:rsidRPr="00351069">
        <w:rPr>
          <w:rFonts w:eastAsiaTheme="minorHAnsi"/>
          <w:i/>
          <w:iCs/>
          <w:color w:val="000000" w:themeColor="text1"/>
          <w:sz w:val="22"/>
          <w:szCs w:val="22"/>
          <w:lang w:bidi="ar-SA"/>
        </w:rPr>
        <w:t xml:space="preserve">Effective for plan years beginning </w:t>
      </w:r>
      <w:r w:rsidR="00270B38">
        <w:rPr>
          <w:rFonts w:eastAsiaTheme="minorHAnsi"/>
          <w:i/>
          <w:iCs/>
          <w:color w:val="000000" w:themeColor="text1"/>
          <w:sz w:val="22"/>
          <w:szCs w:val="22"/>
          <w:lang w:bidi="ar-SA"/>
        </w:rPr>
        <w:t>in</w:t>
      </w:r>
      <w:r w:rsidRPr="00351069">
        <w:rPr>
          <w:rFonts w:eastAsiaTheme="minorHAnsi"/>
          <w:i/>
          <w:iCs/>
          <w:color w:val="000000" w:themeColor="text1"/>
          <w:sz w:val="22"/>
          <w:szCs w:val="22"/>
          <w:lang w:bidi="ar-SA"/>
        </w:rPr>
        <w:t xml:space="preserve"> 2022</w:t>
      </w:r>
      <w:r w:rsidRPr="00351069">
        <w:rPr>
          <w:rFonts w:eastAsiaTheme="minorHAnsi"/>
          <w:b/>
          <w:bCs/>
          <w:color w:val="000000" w:themeColor="text1"/>
          <w:sz w:val="22"/>
          <w:szCs w:val="22"/>
          <w:lang w:bidi="ar-SA"/>
        </w:rPr>
        <w:t xml:space="preserve"> </w:t>
      </w:r>
    </w:p>
    <w:p w14:paraId="604EBD2A" w14:textId="2005B1C8" w:rsidR="00E9193C" w:rsidRDefault="00351069" w:rsidP="00EB3EDF">
      <w:pPr>
        <w:spacing w:after="160" w:line="276" w:lineRule="auto"/>
        <w:rPr>
          <w:rFonts w:eastAsiaTheme="minorHAnsi"/>
          <w:color w:val="3B3838" w:themeColor="background2" w:themeShade="40"/>
          <w:lang w:bidi="ar-SA"/>
        </w:rPr>
      </w:pPr>
      <w:r w:rsidRPr="00351069">
        <w:rPr>
          <w:rFonts w:eastAsiaTheme="minorHAnsi"/>
          <w:color w:val="3B3838" w:themeColor="background2" w:themeShade="40"/>
          <w:lang w:bidi="ar-SA"/>
        </w:rPr>
        <w:t xml:space="preserve">ID cards </w:t>
      </w:r>
      <w:r w:rsidR="00EB3EDF">
        <w:rPr>
          <w:rFonts w:eastAsiaTheme="minorHAnsi"/>
          <w:color w:val="3B3838" w:themeColor="background2" w:themeShade="40"/>
          <w:lang w:bidi="ar-SA"/>
        </w:rPr>
        <w:t xml:space="preserve">must </w:t>
      </w:r>
      <w:r w:rsidRPr="00351069">
        <w:rPr>
          <w:rFonts w:eastAsiaTheme="minorHAnsi"/>
          <w:color w:val="3B3838" w:themeColor="background2" w:themeShade="40"/>
          <w:lang w:bidi="ar-SA"/>
        </w:rPr>
        <w:t xml:space="preserve">include </w:t>
      </w:r>
      <w:r w:rsidR="00EB3EDF">
        <w:rPr>
          <w:rFonts w:eastAsiaTheme="minorHAnsi"/>
          <w:color w:val="3B3838" w:themeColor="background2" w:themeShade="40"/>
          <w:lang w:bidi="ar-SA"/>
        </w:rPr>
        <w:t xml:space="preserve">additional </w:t>
      </w:r>
      <w:r w:rsidRPr="00351069">
        <w:rPr>
          <w:rFonts w:eastAsiaTheme="minorHAnsi"/>
          <w:color w:val="3B3838" w:themeColor="background2" w:themeShade="40"/>
          <w:lang w:bidi="ar-SA"/>
        </w:rPr>
        <w:t>required information</w:t>
      </w:r>
      <w:r w:rsidR="00EB3EDF">
        <w:rPr>
          <w:rFonts w:eastAsiaTheme="minorHAnsi"/>
          <w:color w:val="3B3838" w:themeColor="background2" w:themeShade="40"/>
          <w:lang w:bidi="ar-SA"/>
        </w:rPr>
        <w:t>,</w:t>
      </w:r>
      <w:r w:rsidR="00EB3EDF" w:rsidRPr="00EB3EDF">
        <w:t xml:space="preserve"> </w:t>
      </w:r>
      <w:r w:rsidR="00EB3EDF" w:rsidRPr="00EB3EDF">
        <w:rPr>
          <w:rFonts w:eastAsiaTheme="minorHAnsi"/>
          <w:color w:val="3B3838" w:themeColor="background2" w:themeShade="40"/>
          <w:lang w:bidi="ar-SA"/>
        </w:rPr>
        <w:t>including deductible</w:t>
      </w:r>
      <w:r w:rsidR="00EB3EDF">
        <w:rPr>
          <w:rFonts w:eastAsiaTheme="minorHAnsi"/>
          <w:color w:val="3B3838" w:themeColor="background2" w:themeShade="40"/>
          <w:lang w:bidi="ar-SA"/>
        </w:rPr>
        <w:t xml:space="preserve"> </w:t>
      </w:r>
      <w:r w:rsidR="00EB3EDF" w:rsidRPr="00EB3EDF">
        <w:rPr>
          <w:rFonts w:eastAsiaTheme="minorHAnsi"/>
          <w:color w:val="3B3838" w:themeColor="background2" w:themeShade="40"/>
          <w:lang w:bidi="ar-SA"/>
        </w:rPr>
        <w:t>and copay details</w:t>
      </w:r>
      <w:r w:rsidRPr="00351069">
        <w:rPr>
          <w:rFonts w:eastAsiaTheme="minorHAnsi"/>
          <w:color w:val="3B3838" w:themeColor="background2" w:themeShade="40"/>
          <w:lang w:bidi="ar-SA"/>
        </w:rPr>
        <w:t>.</w:t>
      </w:r>
      <w:r w:rsidR="00545DAF">
        <w:rPr>
          <w:rFonts w:eastAsiaTheme="minorHAnsi"/>
          <w:color w:val="3B3838" w:themeColor="background2" w:themeShade="40"/>
          <w:lang w:bidi="ar-SA"/>
        </w:rPr>
        <w:t xml:space="preserve"> </w:t>
      </w:r>
    </w:p>
    <w:p w14:paraId="79874C52" w14:textId="3B07E7EE" w:rsidR="00351069" w:rsidRPr="00351069" w:rsidRDefault="001450BA" w:rsidP="00EB3EDF">
      <w:pPr>
        <w:spacing w:after="160" w:line="276" w:lineRule="auto"/>
        <w:rPr>
          <w:rFonts w:eastAsiaTheme="minorHAnsi"/>
          <w:color w:val="3B3838" w:themeColor="background2" w:themeShade="40"/>
          <w:lang w:bidi="ar-SA"/>
        </w:rPr>
      </w:pPr>
      <w:r>
        <w:rPr>
          <w:rFonts w:eastAsiaTheme="minorHAnsi"/>
          <w:color w:val="3B3838" w:themeColor="background2" w:themeShade="40"/>
          <w:lang w:bidi="ar-SA"/>
        </w:rPr>
        <w:t>A</w:t>
      </w:r>
      <w:r w:rsidR="00E9193C" w:rsidRPr="00E9193C">
        <w:rPr>
          <w:rFonts w:eastAsiaTheme="minorHAnsi"/>
          <w:color w:val="3B3838" w:themeColor="background2" w:themeShade="40"/>
          <w:lang w:bidi="ar-SA"/>
        </w:rPr>
        <w:t>ccurate provider directory information must be available online and by telephone</w:t>
      </w:r>
      <w:r w:rsidR="00624804">
        <w:rPr>
          <w:rFonts w:eastAsiaTheme="minorHAnsi"/>
          <w:color w:val="3B3838" w:themeColor="background2" w:themeShade="40"/>
          <w:lang w:bidi="ar-SA"/>
        </w:rPr>
        <w:t>, and</w:t>
      </w:r>
      <w:r w:rsidR="00E9193C" w:rsidRPr="00E9193C">
        <w:rPr>
          <w:rFonts w:eastAsiaTheme="minorHAnsi"/>
          <w:color w:val="3B3838" w:themeColor="background2" w:themeShade="40"/>
          <w:lang w:bidi="ar-SA"/>
        </w:rPr>
        <w:t xml:space="preserve"> </w:t>
      </w:r>
      <w:r w:rsidR="00624804">
        <w:rPr>
          <w:rFonts w:eastAsiaTheme="minorHAnsi"/>
          <w:color w:val="3B3838" w:themeColor="background2" w:themeShade="40"/>
          <w:lang w:bidi="ar-SA"/>
        </w:rPr>
        <w:t>the</w:t>
      </w:r>
      <w:r w:rsidR="00E9193C" w:rsidRPr="00E9193C">
        <w:rPr>
          <w:rFonts w:eastAsiaTheme="minorHAnsi"/>
          <w:color w:val="3B3838" w:themeColor="background2" w:themeShade="40"/>
          <w:lang w:bidi="ar-SA"/>
        </w:rPr>
        <w:t xml:space="preserve"> information is required to be verified and updated at least every 90 days. If an individual is provided inaccurate information by the provider directory stating that the provider or facility was a participating provider or facility, the plan may apply cost-sharing only equal to or less than it would for a participating provider or facility and must count such cost-sharing amounts toward any in-network deductible or maximum OOP.</w:t>
      </w:r>
    </w:p>
    <w:p w14:paraId="5687CD7D" w14:textId="66A7A904" w:rsidR="00351069" w:rsidRPr="00270B38" w:rsidRDefault="00624804" w:rsidP="00351069">
      <w:pPr>
        <w:numPr>
          <w:ilvl w:val="0"/>
          <w:numId w:val="16"/>
        </w:numPr>
        <w:spacing w:after="160" w:line="276" w:lineRule="auto"/>
        <w:contextualSpacing/>
        <w:rPr>
          <w:rFonts w:eastAsiaTheme="minorHAnsi"/>
          <w:color w:val="3B3838" w:themeColor="background2" w:themeShade="40"/>
          <w:lang w:bidi="ar-SA"/>
        </w:rPr>
      </w:pPr>
      <w:r w:rsidRPr="00270B38">
        <w:rPr>
          <w:rFonts w:eastAsiaTheme="minorHAnsi"/>
          <w:color w:val="3B3838" w:themeColor="background2" w:themeShade="40"/>
          <w:lang w:bidi="ar-SA"/>
        </w:rPr>
        <w:t>Confirm the TPA will provide ID cards with the required information</w:t>
      </w:r>
    </w:p>
    <w:p w14:paraId="45B58AF9" w14:textId="3DFB6211" w:rsidR="00351069" w:rsidRPr="00270B38" w:rsidRDefault="00624804" w:rsidP="00270B38">
      <w:pPr>
        <w:numPr>
          <w:ilvl w:val="0"/>
          <w:numId w:val="16"/>
        </w:numPr>
        <w:spacing w:after="160" w:line="276" w:lineRule="auto"/>
        <w:contextualSpacing/>
        <w:rPr>
          <w:rFonts w:eastAsiaTheme="minorHAnsi"/>
          <w:color w:val="3B3838" w:themeColor="background2" w:themeShade="40"/>
          <w:lang w:bidi="ar-SA"/>
        </w:rPr>
      </w:pPr>
      <w:r w:rsidRPr="00270B38">
        <w:rPr>
          <w:rFonts w:eastAsiaTheme="minorHAnsi"/>
          <w:color w:val="3B3838" w:themeColor="background2" w:themeShade="40"/>
          <w:lang w:bidi="ar-SA"/>
        </w:rPr>
        <w:t>Conf</w:t>
      </w:r>
      <w:r w:rsidR="007F7763" w:rsidRPr="00270B38">
        <w:rPr>
          <w:rFonts w:eastAsiaTheme="minorHAnsi"/>
          <w:color w:val="3B3838" w:themeColor="background2" w:themeShade="40"/>
          <w:lang w:bidi="ar-SA"/>
        </w:rPr>
        <w:t xml:space="preserve">irm the TPA will maintain an accurate provider directory OR will assume liability if the employer’s plan is required to pay out of network claims as in-network due to provider directory inaccuracies </w:t>
      </w:r>
    </w:p>
    <w:p w14:paraId="60A13CDC" w14:textId="77777777" w:rsidR="00351069" w:rsidRPr="00950FCF" w:rsidRDefault="00351069" w:rsidP="00351069">
      <w:pPr>
        <w:spacing w:after="160" w:line="276" w:lineRule="auto"/>
        <w:ind w:left="720"/>
        <w:contextualSpacing/>
        <w:rPr>
          <w:rFonts w:eastAsiaTheme="minorHAnsi"/>
          <w:color w:val="3B3838" w:themeColor="background2" w:themeShade="40"/>
          <w:lang w:bidi="ar-SA"/>
        </w:rPr>
      </w:pPr>
    </w:p>
    <w:p w14:paraId="24A8ABED" w14:textId="77777777" w:rsidR="00351069" w:rsidRPr="00950FCF" w:rsidRDefault="00351069" w:rsidP="00351069">
      <w:pPr>
        <w:spacing w:after="160" w:line="276" w:lineRule="auto"/>
        <w:ind w:left="360"/>
        <w:contextualSpacing/>
        <w:rPr>
          <w:rFonts w:eastAsiaTheme="minorHAnsi"/>
          <w:color w:val="3B3838" w:themeColor="background2" w:themeShade="40"/>
          <w:lang w:bidi="ar-SA"/>
        </w:rPr>
      </w:pPr>
    </w:p>
    <w:p w14:paraId="75D85B11" w14:textId="71954619" w:rsidR="00351069" w:rsidRPr="00351069" w:rsidRDefault="00351069" w:rsidP="00351069">
      <w:pPr>
        <w:numPr>
          <w:ilvl w:val="0"/>
          <w:numId w:val="14"/>
        </w:numPr>
        <w:spacing w:after="160" w:line="276" w:lineRule="auto"/>
        <w:contextualSpacing/>
        <w:rPr>
          <w:rFonts w:eastAsiaTheme="minorHAnsi"/>
          <w:color w:val="3B3838" w:themeColor="background2" w:themeShade="40"/>
          <w:sz w:val="22"/>
          <w:szCs w:val="22"/>
          <w:lang w:bidi="ar-SA"/>
        </w:rPr>
      </w:pPr>
      <w:r w:rsidRPr="00351069">
        <w:rPr>
          <w:rFonts w:eastAsiaTheme="minorHAnsi"/>
          <w:b/>
          <w:bCs/>
          <w:color w:val="3B3838" w:themeColor="background2" w:themeShade="40"/>
          <w:sz w:val="22"/>
          <w:szCs w:val="22"/>
          <w:lang w:bidi="ar-SA"/>
        </w:rPr>
        <w:t xml:space="preserve">Surprise Billing Rules </w:t>
      </w:r>
      <w:r w:rsidR="00270B38">
        <w:rPr>
          <w:rFonts w:eastAsiaTheme="minorHAnsi"/>
          <w:b/>
          <w:bCs/>
          <w:color w:val="3B3838" w:themeColor="background2" w:themeShade="40"/>
          <w:sz w:val="22"/>
          <w:szCs w:val="22"/>
          <w:lang w:bidi="ar-SA"/>
        </w:rPr>
        <w:t>(</w:t>
      </w:r>
      <w:r w:rsidRPr="00351069">
        <w:rPr>
          <w:rFonts w:eastAsiaTheme="minorHAnsi"/>
          <w:b/>
          <w:bCs/>
          <w:color w:val="3B3838" w:themeColor="background2" w:themeShade="40"/>
          <w:sz w:val="22"/>
          <w:szCs w:val="22"/>
          <w:lang w:bidi="ar-SA"/>
        </w:rPr>
        <w:t>Balance Billing Protection</w:t>
      </w:r>
      <w:r w:rsidR="00270B38">
        <w:rPr>
          <w:rFonts w:eastAsiaTheme="minorHAnsi"/>
          <w:b/>
          <w:bCs/>
          <w:color w:val="3B3838" w:themeColor="background2" w:themeShade="40"/>
          <w:sz w:val="22"/>
          <w:szCs w:val="22"/>
          <w:lang w:bidi="ar-SA"/>
        </w:rPr>
        <w:t>)</w:t>
      </w:r>
      <w:r w:rsidRPr="00351069">
        <w:rPr>
          <w:rFonts w:eastAsiaTheme="minorHAnsi"/>
          <w:b/>
          <w:bCs/>
          <w:color w:val="3B3838" w:themeColor="background2" w:themeShade="40"/>
          <w:sz w:val="22"/>
          <w:szCs w:val="22"/>
          <w:lang w:bidi="ar-SA"/>
        </w:rPr>
        <w:t xml:space="preserve"> - </w:t>
      </w:r>
      <w:r w:rsidRPr="00351069">
        <w:rPr>
          <w:rFonts w:eastAsiaTheme="minorHAnsi"/>
          <w:i/>
          <w:iCs/>
          <w:color w:val="000000" w:themeColor="text1"/>
          <w:sz w:val="22"/>
          <w:szCs w:val="22"/>
          <w:lang w:bidi="ar-SA"/>
        </w:rPr>
        <w:t xml:space="preserve">Effective for plan years </w:t>
      </w:r>
      <w:r w:rsidR="00270B38">
        <w:rPr>
          <w:rFonts w:eastAsiaTheme="minorHAnsi"/>
          <w:i/>
          <w:iCs/>
          <w:color w:val="000000" w:themeColor="text1"/>
          <w:sz w:val="22"/>
          <w:szCs w:val="22"/>
          <w:lang w:bidi="ar-SA"/>
        </w:rPr>
        <w:t>beginning in</w:t>
      </w:r>
      <w:r w:rsidRPr="00351069">
        <w:rPr>
          <w:rFonts w:eastAsiaTheme="minorHAnsi"/>
          <w:i/>
          <w:iCs/>
          <w:color w:val="000000" w:themeColor="text1"/>
          <w:sz w:val="22"/>
          <w:szCs w:val="22"/>
          <w:lang w:bidi="ar-SA"/>
        </w:rPr>
        <w:t xml:space="preserve"> 2022</w:t>
      </w:r>
    </w:p>
    <w:p w14:paraId="3113F83B" w14:textId="3C46F45A" w:rsidR="00835EDA" w:rsidRDefault="001450BA" w:rsidP="00351069">
      <w:pPr>
        <w:spacing w:after="160" w:line="276" w:lineRule="auto"/>
        <w:rPr>
          <w:rFonts w:eastAsiaTheme="minorHAnsi"/>
          <w:color w:val="3B3838" w:themeColor="background2" w:themeShade="40"/>
          <w:lang w:bidi="ar-SA"/>
        </w:rPr>
      </w:pPr>
      <w:r>
        <w:rPr>
          <w:rFonts w:eastAsiaTheme="minorHAnsi"/>
          <w:color w:val="3B3838" w:themeColor="background2" w:themeShade="40"/>
          <w:lang w:bidi="ar-SA"/>
        </w:rPr>
        <w:t xml:space="preserve">Balance billing generally is not permitted </w:t>
      </w:r>
      <w:r w:rsidR="0067740E">
        <w:rPr>
          <w:rFonts w:eastAsiaTheme="minorHAnsi"/>
          <w:color w:val="3B3838" w:themeColor="background2" w:themeShade="40"/>
          <w:lang w:bidi="ar-SA"/>
        </w:rPr>
        <w:t>for: (i) out-of-network emergency services; (ii) out-of-network</w:t>
      </w:r>
      <w:r w:rsidR="00211FD9">
        <w:rPr>
          <w:rFonts w:eastAsiaTheme="minorHAnsi"/>
          <w:color w:val="3B3838" w:themeColor="background2" w:themeShade="40"/>
          <w:lang w:bidi="ar-SA"/>
        </w:rPr>
        <w:t xml:space="preserve"> providers in an in-network facility; and (iii) out-of-network air ambulance services.</w:t>
      </w:r>
      <w:r w:rsidR="00D97725">
        <w:rPr>
          <w:rFonts w:eastAsiaTheme="minorHAnsi"/>
          <w:color w:val="3B3838" w:themeColor="background2" w:themeShade="40"/>
          <w:lang w:bidi="ar-SA"/>
        </w:rPr>
        <w:t xml:space="preserve"> Plan participants may only be asked to pay the in-network rates, and the plan must pay the difference </w:t>
      </w:r>
      <w:r w:rsidR="00896D97">
        <w:rPr>
          <w:rFonts w:eastAsiaTheme="minorHAnsi"/>
          <w:color w:val="3B3838" w:themeColor="background2" w:themeShade="40"/>
          <w:lang w:bidi="ar-SA"/>
        </w:rPr>
        <w:t>as negotiated with the provider.</w:t>
      </w:r>
    </w:p>
    <w:p w14:paraId="228FD605" w14:textId="46DAEEF8" w:rsidR="00D10B5C" w:rsidRDefault="00896D97" w:rsidP="00351069">
      <w:pPr>
        <w:spacing w:after="160" w:line="276" w:lineRule="auto"/>
        <w:rPr>
          <w:rFonts w:eastAsiaTheme="minorHAnsi"/>
          <w:color w:val="3B3838" w:themeColor="background2" w:themeShade="40"/>
          <w:lang w:bidi="ar-SA"/>
        </w:rPr>
      </w:pPr>
      <w:r>
        <w:rPr>
          <w:rFonts w:eastAsiaTheme="minorHAnsi"/>
          <w:color w:val="3B3838" w:themeColor="background2" w:themeShade="40"/>
          <w:lang w:bidi="ar-SA"/>
        </w:rPr>
        <w:lastRenderedPageBreak/>
        <w:t>A model notice</w:t>
      </w:r>
      <w:r w:rsidR="00636E0C">
        <w:rPr>
          <w:rFonts w:eastAsiaTheme="minorHAnsi"/>
          <w:color w:val="3B3838" w:themeColor="background2" w:themeShade="40"/>
          <w:lang w:bidi="ar-SA"/>
        </w:rPr>
        <w:t xml:space="preserve"> communicating this protection</w:t>
      </w:r>
      <w:r>
        <w:rPr>
          <w:rFonts w:eastAsiaTheme="minorHAnsi"/>
          <w:color w:val="3B3838" w:themeColor="background2" w:themeShade="40"/>
          <w:lang w:bidi="ar-SA"/>
        </w:rPr>
        <w:t xml:space="preserve"> must be posted on the plan’s </w:t>
      </w:r>
      <w:r w:rsidR="00D10B5C">
        <w:rPr>
          <w:rFonts w:eastAsiaTheme="minorHAnsi"/>
          <w:color w:val="3B3838" w:themeColor="background2" w:themeShade="40"/>
          <w:lang w:bidi="ar-SA"/>
        </w:rPr>
        <w:t xml:space="preserve">public-facing website and must also be included with </w:t>
      </w:r>
      <w:r w:rsidR="00D10B5C" w:rsidRPr="00351069">
        <w:rPr>
          <w:rFonts w:eastAsiaTheme="minorHAnsi"/>
          <w:color w:val="3B3838" w:themeColor="background2" w:themeShade="40"/>
          <w:lang w:bidi="ar-SA"/>
        </w:rPr>
        <w:t>all Explanations of Benefits (EOBs)</w:t>
      </w:r>
      <w:r w:rsidR="00D10B5C">
        <w:rPr>
          <w:rFonts w:eastAsiaTheme="minorHAnsi"/>
          <w:color w:val="3B3838" w:themeColor="background2" w:themeShade="40"/>
          <w:lang w:bidi="ar-SA"/>
        </w:rPr>
        <w:t>.</w:t>
      </w:r>
    </w:p>
    <w:p w14:paraId="63C8DEE1" w14:textId="12F2EA8B" w:rsidR="00351069" w:rsidRPr="00950FCF" w:rsidRDefault="00636E0C" w:rsidP="00351069">
      <w:pPr>
        <w:numPr>
          <w:ilvl w:val="0"/>
          <w:numId w:val="16"/>
        </w:numPr>
        <w:spacing w:after="160" w:line="276" w:lineRule="auto"/>
        <w:contextualSpacing/>
        <w:rPr>
          <w:rFonts w:eastAsiaTheme="minorHAnsi"/>
          <w:color w:val="3B3838" w:themeColor="background2" w:themeShade="40"/>
          <w:lang w:bidi="ar-SA"/>
        </w:rPr>
      </w:pPr>
      <w:r w:rsidRPr="00950FCF">
        <w:rPr>
          <w:rFonts w:eastAsiaTheme="minorHAnsi"/>
          <w:color w:val="3B3838" w:themeColor="background2" w:themeShade="40"/>
          <w:lang w:bidi="ar-SA"/>
        </w:rPr>
        <w:t xml:space="preserve">Confirm the TPA </w:t>
      </w:r>
      <w:r w:rsidR="002D5EDF" w:rsidRPr="00950FCF">
        <w:rPr>
          <w:rFonts w:eastAsiaTheme="minorHAnsi"/>
          <w:color w:val="3B3838" w:themeColor="background2" w:themeShade="40"/>
          <w:lang w:bidi="ar-SA"/>
        </w:rPr>
        <w:t>will process claims in accordance with the surpr</w:t>
      </w:r>
      <w:r w:rsidR="009D0A9D" w:rsidRPr="00950FCF">
        <w:rPr>
          <w:rFonts w:eastAsiaTheme="minorHAnsi"/>
          <w:color w:val="3B3838" w:themeColor="background2" w:themeShade="40"/>
          <w:lang w:bidi="ar-SA"/>
        </w:rPr>
        <w:t>ise billing requirements</w:t>
      </w:r>
    </w:p>
    <w:p w14:paraId="0C1C8F85" w14:textId="10F32DEE" w:rsidR="009D0A9D" w:rsidRPr="00950FCF" w:rsidRDefault="009D0A9D" w:rsidP="00351069">
      <w:pPr>
        <w:numPr>
          <w:ilvl w:val="0"/>
          <w:numId w:val="16"/>
        </w:numPr>
        <w:spacing w:after="160" w:line="276" w:lineRule="auto"/>
        <w:contextualSpacing/>
        <w:rPr>
          <w:rFonts w:eastAsiaTheme="minorHAnsi"/>
          <w:color w:val="3B3838" w:themeColor="background2" w:themeShade="40"/>
          <w:lang w:bidi="ar-SA"/>
        </w:rPr>
      </w:pPr>
      <w:r w:rsidRPr="00950FCF">
        <w:rPr>
          <w:rFonts w:eastAsiaTheme="minorHAnsi"/>
          <w:color w:val="3B3838" w:themeColor="background2" w:themeShade="40"/>
          <w:lang w:bidi="ar-SA"/>
        </w:rPr>
        <w:t xml:space="preserve">Confirm </w:t>
      </w:r>
      <w:r w:rsidR="00845F44">
        <w:rPr>
          <w:rFonts w:eastAsiaTheme="minorHAnsi"/>
          <w:color w:val="3B3838" w:themeColor="background2" w:themeShade="40"/>
          <w:lang w:bidi="ar-SA"/>
        </w:rPr>
        <w:t>to what extent the</w:t>
      </w:r>
      <w:r w:rsidRPr="00950FCF">
        <w:rPr>
          <w:rFonts w:eastAsiaTheme="minorHAnsi"/>
          <w:color w:val="3B3838" w:themeColor="background2" w:themeShade="40"/>
          <w:lang w:bidi="ar-SA"/>
        </w:rPr>
        <w:t xml:space="preserve"> TPA will negotiate with providers</w:t>
      </w:r>
      <w:r w:rsidR="00D42D03" w:rsidRPr="00950FCF">
        <w:rPr>
          <w:rFonts w:eastAsiaTheme="minorHAnsi"/>
          <w:color w:val="3B3838" w:themeColor="background2" w:themeShade="40"/>
          <w:lang w:bidi="ar-SA"/>
        </w:rPr>
        <w:t xml:space="preserve"> to get a fair price for the services</w:t>
      </w:r>
      <w:r w:rsidRPr="00950FCF">
        <w:rPr>
          <w:rFonts w:eastAsiaTheme="minorHAnsi"/>
          <w:color w:val="3B3838" w:themeColor="background2" w:themeShade="40"/>
          <w:lang w:bidi="ar-SA"/>
        </w:rPr>
        <w:t xml:space="preserve">, potentially using the </w:t>
      </w:r>
      <w:r w:rsidR="00696D68" w:rsidRPr="00950FCF">
        <w:rPr>
          <w:rFonts w:eastAsiaTheme="minorHAnsi"/>
          <w:color w:val="3B3838" w:themeColor="background2" w:themeShade="40"/>
          <w:lang w:bidi="ar-SA"/>
        </w:rPr>
        <w:t xml:space="preserve">independent dispute resolution (IDR) process, </w:t>
      </w:r>
      <w:r w:rsidR="006A54D2" w:rsidRPr="00950FCF">
        <w:rPr>
          <w:rFonts w:eastAsiaTheme="minorHAnsi"/>
          <w:color w:val="3B3838" w:themeColor="background2" w:themeShade="40"/>
          <w:lang w:bidi="ar-SA"/>
        </w:rPr>
        <w:t>and any costs associated with such negotiations</w:t>
      </w:r>
    </w:p>
    <w:p w14:paraId="445FB1BD" w14:textId="5C1FFAE6" w:rsidR="00351069" w:rsidRPr="00950FCF" w:rsidRDefault="006A54D2" w:rsidP="00D42D03">
      <w:pPr>
        <w:numPr>
          <w:ilvl w:val="0"/>
          <w:numId w:val="16"/>
        </w:numPr>
        <w:spacing w:after="160" w:line="276" w:lineRule="auto"/>
        <w:contextualSpacing/>
        <w:rPr>
          <w:rFonts w:eastAsiaTheme="minorHAnsi"/>
          <w:color w:val="3B3838" w:themeColor="background2" w:themeShade="40"/>
          <w:lang w:bidi="ar-SA"/>
        </w:rPr>
      </w:pPr>
      <w:r w:rsidRPr="00950FCF">
        <w:rPr>
          <w:rFonts w:eastAsiaTheme="minorHAnsi"/>
          <w:color w:val="3B3838" w:themeColor="background2" w:themeShade="40"/>
          <w:lang w:bidi="ar-SA"/>
        </w:rPr>
        <w:t xml:space="preserve">Confirm the </w:t>
      </w:r>
      <w:r w:rsidR="00D42D03" w:rsidRPr="00950FCF">
        <w:rPr>
          <w:rFonts w:eastAsiaTheme="minorHAnsi"/>
          <w:color w:val="3B3838" w:themeColor="background2" w:themeShade="40"/>
          <w:lang w:bidi="ar-SA"/>
        </w:rPr>
        <w:t>TPA will include the model notice, or something similar, on their public-facing website and on all EOBs</w:t>
      </w:r>
    </w:p>
    <w:p w14:paraId="26327B00" w14:textId="77777777" w:rsidR="00351069" w:rsidRPr="00950FCF" w:rsidRDefault="00351069" w:rsidP="00351069">
      <w:pPr>
        <w:spacing w:after="160" w:line="276" w:lineRule="auto"/>
        <w:ind w:left="360"/>
        <w:contextualSpacing/>
        <w:rPr>
          <w:rFonts w:eastAsiaTheme="minorHAnsi"/>
          <w:color w:val="3B3838" w:themeColor="background2" w:themeShade="40"/>
          <w:lang w:bidi="ar-SA"/>
        </w:rPr>
      </w:pPr>
    </w:p>
    <w:p w14:paraId="79A57295" w14:textId="77777777" w:rsidR="00351069" w:rsidRPr="00950FCF" w:rsidRDefault="00351069" w:rsidP="00351069">
      <w:pPr>
        <w:spacing w:after="160" w:line="276" w:lineRule="auto"/>
        <w:ind w:left="360"/>
        <w:contextualSpacing/>
        <w:rPr>
          <w:rFonts w:eastAsiaTheme="minorHAnsi"/>
          <w:color w:val="3B3838" w:themeColor="background2" w:themeShade="40"/>
          <w:lang w:bidi="ar-SA"/>
        </w:rPr>
      </w:pPr>
    </w:p>
    <w:p w14:paraId="5B29B830" w14:textId="456E3655" w:rsidR="00351069" w:rsidRPr="00351069" w:rsidRDefault="00351069" w:rsidP="00351069">
      <w:pPr>
        <w:numPr>
          <w:ilvl w:val="0"/>
          <w:numId w:val="14"/>
        </w:numPr>
        <w:spacing w:after="160" w:line="276" w:lineRule="auto"/>
        <w:contextualSpacing/>
        <w:rPr>
          <w:rFonts w:eastAsiaTheme="minorHAnsi"/>
          <w:color w:val="3B3838" w:themeColor="background2" w:themeShade="40"/>
          <w:sz w:val="22"/>
          <w:szCs w:val="22"/>
          <w:lang w:bidi="ar-SA"/>
        </w:rPr>
      </w:pPr>
      <w:r w:rsidRPr="00351069">
        <w:rPr>
          <w:rFonts w:eastAsiaTheme="minorHAnsi"/>
          <w:b/>
          <w:bCs/>
          <w:color w:val="3B3838" w:themeColor="background2" w:themeShade="40"/>
          <w:sz w:val="22"/>
          <w:szCs w:val="22"/>
          <w:lang w:bidi="ar-SA"/>
        </w:rPr>
        <w:t xml:space="preserve">Continuity of Care - </w:t>
      </w:r>
      <w:r w:rsidRPr="00351069">
        <w:rPr>
          <w:rFonts w:eastAsiaTheme="minorHAnsi"/>
          <w:i/>
          <w:iCs/>
          <w:color w:val="000000" w:themeColor="text1"/>
          <w:sz w:val="22"/>
          <w:szCs w:val="22"/>
          <w:lang w:bidi="ar-SA"/>
        </w:rPr>
        <w:t xml:space="preserve">Effective </w:t>
      </w:r>
      <w:r w:rsidR="00562265">
        <w:rPr>
          <w:rFonts w:eastAsiaTheme="minorHAnsi"/>
          <w:i/>
          <w:iCs/>
          <w:color w:val="000000" w:themeColor="text1"/>
          <w:sz w:val="22"/>
          <w:szCs w:val="22"/>
          <w:lang w:bidi="ar-SA"/>
        </w:rPr>
        <w:t>for plan years beginning in</w:t>
      </w:r>
      <w:r w:rsidRPr="00351069">
        <w:rPr>
          <w:rFonts w:eastAsiaTheme="minorHAnsi"/>
          <w:i/>
          <w:iCs/>
          <w:color w:val="000000" w:themeColor="text1"/>
          <w:sz w:val="22"/>
          <w:szCs w:val="22"/>
          <w:lang w:bidi="ar-SA"/>
        </w:rPr>
        <w:t xml:space="preserve"> 2022</w:t>
      </w:r>
    </w:p>
    <w:p w14:paraId="0415D1E9" w14:textId="3E15F249" w:rsidR="00F05816" w:rsidRDefault="00F05816" w:rsidP="00351069">
      <w:pPr>
        <w:spacing w:after="160" w:line="276" w:lineRule="auto"/>
        <w:rPr>
          <w:rFonts w:eastAsiaTheme="minorHAnsi"/>
          <w:color w:val="3B3838" w:themeColor="background2" w:themeShade="40"/>
          <w:lang w:bidi="ar-SA"/>
        </w:rPr>
      </w:pPr>
      <w:r w:rsidRPr="00F05816">
        <w:rPr>
          <w:rFonts w:eastAsiaTheme="minorHAnsi"/>
          <w:color w:val="3B3838" w:themeColor="background2" w:themeShade="40"/>
          <w:lang w:bidi="ar-SA"/>
        </w:rPr>
        <w:t xml:space="preserve">When </w:t>
      </w:r>
      <w:r>
        <w:rPr>
          <w:rFonts w:eastAsiaTheme="minorHAnsi"/>
          <w:color w:val="3B3838" w:themeColor="background2" w:themeShade="40"/>
          <w:lang w:bidi="ar-SA"/>
        </w:rPr>
        <w:t xml:space="preserve">a </w:t>
      </w:r>
      <w:r w:rsidRPr="00F05816">
        <w:rPr>
          <w:rFonts w:eastAsiaTheme="minorHAnsi"/>
          <w:color w:val="3B3838" w:themeColor="background2" w:themeShade="40"/>
          <w:lang w:bidi="ar-SA"/>
        </w:rPr>
        <w:t>provider</w:t>
      </w:r>
      <w:r>
        <w:rPr>
          <w:rFonts w:eastAsiaTheme="minorHAnsi"/>
          <w:color w:val="3B3838" w:themeColor="background2" w:themeShade="40"/>
          <w:lang w:bidi="ar-SA"/>
        </w:rPr>
        <w:t xml:space="preserve"> or </w:t>
      </w:r>
      <w:r w:rsidRPr="00F05816">
        <w:rPr>
          <w:rFonts w:eastAsiaTheme="minorHAnsi"/>
          <w:color w:val="3B3838" w:themeColor="background2" w:themeShade="40"/>
          <w:lang w:bidi="ar-SA"/>
        </w:rPr>
        <w:t>facility is no longer in-network or covered</w:t>
      </w:r>
      <w:r>
        <w:rPr>
          <w:rFonts w:eastAsiaTheme="minorHAnsi"/>
          <w:color w:val="3B3838" w:themeColor="background2" w:themeShade="40"/>
          <w:lang w:bidi="ar-SA"/>
        </w:rPr>
        <w:t xml:space="preserve"> under the plan</w:t>
      </w:r>
      <w:r w:rsidRPr="00F05816">
        <w:rPr>
          <w:rFonts w:eastAsiaTheme="minorHAnsi"/>
          <w:color w:val="3B3838" w:themeColor="background2" w:themeShade="40"/>
          <w:lang w:bidi="ar-SA"/>
        </w:rPr>
        <w:t>, participants must be permitted to continue care for up to 90 days under the same terms and conditions that were in place prior to the change in network or coverage</w:t>
      </w:r>
      <w:r>
        <w:rPr>
          <w:rFonts w:eastAsiaTheme="minorHAnsi"/>
          <w:color w:val="3B3838" w:themeColor="background2" w:themeShade="40"/>
          <w:lang w:bidi="ar-SA"/>
        </w:rPr>
        <w:t>.</w:t>
      </w:r>
    </w:p>
    <w:p w14:paraId="777B2487" w14:textId="5BCD4D5A" w:rsidR="00351069" w:rsidRPr="00AF0D72" w:rsidRDefault="00BD0685" w:rsidP="00AF0D72">
      <w:pPr>
        <w:numPr>
          <w:ilvl w:val="0"/>
          <w:numId w:val="16"/>
        </w:numPr>
        <w:spacing w:after="160" w:line="276" w:lineRule="auto"/>
        <w:contextualSpacing/>
        <w:rPr>
          <w:rFonts w:eastAsiaTheme="minorHAnsi"/>
          <w:color w:val="3B3838" w:themeColor="background2" w:themeShade="40"/>
          <w:sz w:val="18"/>
          <w:szCs w:val="18"/>
          <w:lang w:bidi="ar-SA"/>
        </w:rPr>
      </w:pPr>
      <w:r>
        <w:rPr>
          <w:rFonts w:eastAsiaTheme="minorHAnsi"/>
          <w:color w:val="3B3838" w:themeColor="background2" w:themeShade="40"/>
          <w:lang w:bidi="ar-SA"/>
        </w:rPr>
        <w:t xml:space="preserve">Confirm </w:t>
      </w:r>
      <w:r w:rsidR="00B67AA9">
        <w:rPr>
          <w:rFonts w:eastAsiaTheme="minorHAnsi"/>
          <w:color w:val="3B3838" w:themeColor="background2" w:themeShade="40"/>
          <w:lang w:bidi="ar-SA"/>
        </w:rPr>
        <w:t>that upon a network change</w:t>
      </w:r>
      <w:r w:rsidR="00AF0D72">
        <w:rPr>
          <w:rFonts w:eastAsiaTheme="minorHAnsi"/>
          <w:color w:val="3B3838" w:themeColor="background2" w:themeShade="40"/>
          <w:lang w:bidi="ar-SA"/>
        </w:rPr>
        <w:t xml:space="preserve">, </w:t>
      </w:r>
      <w:r w:rsidR="00B67AA9">
        <w:rPr>
          <w:rFonts w:eastAsiaTheme="minorHAnsi"/>
          <w:color w:val="3B3838" w:themeColor="background2" w:themeShade="40"/>
          <w:lang w:bidi="ar-SA"/>
        </w:rPr>
        <w:t xml:space="preserve">the </w:t>
      </w:r>
      <w:r w:rsidRPr="00BD0685">
        <w:rPr>
          <w:rFonts w:eastAsiaTheme="minorHAnsi"/>
          <w:color w:val="3B3838" w:themeColor="background2" w:themeShade="40"/>
          <w:lang w:bidi="ar-SA"/>
        </w:rPr>
        <w:t>TPA will identify and notify</w:t>
      </w:r>
      <w:r w:rsidR="00AF0D72">
        <w:rPr>
          <w:rFonts w:eastAsiaTheme="minorHAnsi"/>
          <w:color w:val="3B3838" w:themeColor="background2" w:themeShade="40"/>
          <w:lang w:bidi="ar-SA"/>
        </w:rPr>
        <w:t xml:space="preserve"> affected</w:t>
      </w:r>
      <w:r w:rsidRPr="00BD0685">
        <w:rPr>
          <w:rFonts w:eastAsiaTheme="minorHAnsi"/>
          <w:color w:val="3B3838" w:themeColor="background2" w:themeShade="40"/>
          <w:lang w:bidi="ar-SA"/>
        </w:rPr>
        <w:t xml:space="preserve"> individuals</w:t>
      </w:r>
      <w:r w:rsidR="00B67AA9">
        <w:rPr>
          <w:rFonts w:eastAsiaTheme="minorHAnsi"/>
          <w:color w:val="3B3838" w:themeColor="background2" w:themeShade="40"/>
          <w:lang w:bidi="ar-SA"/>
        </w:rPr>
        <w:t xml:space="preserve"> </w:t>
      </w:r>
      <w:r w:rsidR="00AF0D72">
        <w:rPr>
          <w:rFonts w:eastAsiaTheme="minorHAnsi"/>
          <w:color w:val="3B3838" w:themeColor="background2" w:themeShade="40"/>
          <w:lang w:bidi="ar-SA"/>
        </w:rPr>
        <w:t>and</w:t>
      </w:r>
      <w:r w:rsidRPr="00BD0685">
        <w:rPr>
          <w:rFonts w:eastAsiaTheme="minorHAnsi"/>
          <w:color w:val="3B3838" w:themeColor="background2" w:themeShade="40"/>
          <w:lang w:bidi="ar-SA"/>
        </w:rPr>
        <w:t xml:space="preserve"> provide an opportunity for participants to request transitional care</w:t>
      </w:r>
    </w:p>
    <w:p w14:paraId="7656E1DC" w14:textId="3EB834D9" w:rsidR="00194150" w:rsidRDefault="00194150" w:rsidP="00755CC2">
      <w:pPr>
        <w:spacing w:line="259" w:lineRule="auto"/>
        <w:rPr>
          <w:rFonts w:eastAsiaTheme="minorHAnsi"/>
          <w:color w:val="3B3838" w:themeColor="background2" w:themeShade="40"/>
          <w:lang w:bidi="ar-SA"/>
        </w:rPr>
      </w:pPr>
    </w:p>
    <w:p w14:paraId="3BD03BEE" w14:textId="77777777" w:rsidR="00755CC2" w:rsidRDefault="00755CC2" w:rsidP="00755CC2">
      <w:pPr>
        <w:spacing w:line="259" w:lineRule="auto"/>
        <w:rPr>
          <w:rFonts w:eastAsiaTheme="minorHAnsi"/>
          <w:color w:val="3B3838" w:themeColor="background2" w:themeShade="40"/>
          <w:lang w:bidi="ar-SA"/>
        </w:rPr>
      </w:pPr>
    </w:p>
    <w:p w14:paraId="3A614460" w14:textId="0A4E596F" w:rsidR="00351069" w:rsidRPr="00351069" w:rsidRDefault="00351069" w:rsidP="00351069">
      <w:pPr>
        <w:numPr>
          <w:ilvl w:val="0"/>
          <w:numId w:val="14"/>
        </w:numPr>
        <w:spacing w:after="160" w:line="276" w:lineRule="auto"/>
        <w:contextualSpacing/>
        <w:rPr>
          <w:rFonts w:eastAsiaTheme="minorHAnsi"/>
          <w:color w:val="3B3838" w:themeColor="background2" w:themeShade="40"/>
          <w:sz w:val="22"/>
          <w:szCs w:val="22"/>
          <w:lang w:bidi="ar-SA"/>
        </w:rPr>
      </w:pPr>
      <w:r w:rsidRPr="00351069">
        <w:rPr>
          <w:rFonts w:eastAsiaTheme="minorHAnsi"/>
          <w:b/>
          <w:bCs/>
          <w:color w:val="3B3838" w:themeColor="background2" w:themeShade="40"/>
          <w:sz w:val="22"/>
          <w:szCs w:val="22"/>
          <w:lang w:bidi="ar-SA"/>
        </w:rPr>
        <w:t>Health Plan Data</w:t>
      </w:r>
      <w:r w:rsidR="002966BB">
        <w:rPr>
          <w:rFonts w:eastAsiaTheme="minorHAnsi"/>
          <w:b/>
          <w:bCs/>
          <w:color w:val="3B3838" w:themeColor="background2" w:themeShade="40"/>
          <w:sz w:val="22"/>
          <w:szCs w:val="22"/>
          <w:lang w:bidi="ar-SA"/>
        </w:rPr>
        <w:t xml:space="preserve"> (Machine-Read</w:t>
      </w:r>
      <w:r w:rsidR="00710C14">
        <w:rPr>
          <w:rFonts w:eastAsiaTheme="minorHAnsi"/>
          <w:b/>
          <w:bCs/>
          <w:color w:val="3B3838" w:themeColor="background2" w:themeShade="40"/>
          <w:sz w:val="22"/>
          <w:szCs w:val="22"/>
          <w:lang w:bidi="ar-SA"/>
        </w:rPr>
        <w:t xml:space="preserve">able </w:t>
      </w:r>
      <w:r w:rsidRPr="00351069">
        <w:rPr>
          <w:rFonts w:eastAsiaTheme="minorHAnsi"/>
          <w:b/>
          <w:bCs/>
          <w:color w:val="3B3838" w:themeColor="background2" w:themeShade="40"/>
          <w:sz w:val="22"/>
          <w:szCs w:val="22"/>
          <w:lang w:bidi="ar-SA"/>
        </w:rPr>
        <w:t>Files</w:t>
      </w:r>
      <w:r w:rsidR="00710C14">
        <w:rPr>
          <w:rFonts w:eastAsiaTheme="minorHAnsi"/>
          <w:b/>
          <w:bCs/>
          <w:color w:val="3B3838" w:themeColor="background2" w:themeShade="40"/>
          <w:sz w:val="22"/>
          <w:szCs w:val="22"/>
          <w:lang w:bidi="ar-SA"/>
        </w:rPr>
        <w:t>)</w:t>
      </w:r>
      <w:r w:rsidRPr="00351069">
        <w:rPr>
          <w:rFonts w:eastAsiaTheme="minorHAnsi"/>
          <w:b/>
          <w:bCs/>
          <w:color w:val="3B3838" w:themeColor="background2" w:themeShade="40"/>
          <w:sz w:val="22"/>
          <w:szCs w:val="22"/>
          <w:lang w:bidi="ar-SA"/>
        </w:rPr>
        <w:t xml:space="preserve"> </w:t>
      </w:r>
      <w:r w:rsidR="00507083">
        <w:rPr>
          <w:rFonts w:eastAsiaTheme="minorHAnsi"/>
          <w:b/>
          <w:bCs/>
          <w:color w:val="3B3838" w:themeColor="background2" w:themeShade="40"/>
          <w:sz w:val="22"/>
          <w:szCs w:val="22"/>
          <w:lang w:bidi="ar-SA"/>
        </w:rPr>
        <w:t>–</w:t>
      </w:r>
      <w:r w:rsidRPr="00351069">
        <w:rPr>
          <w:rFonts w:eastAsiaTheme="minorHAnsi"/>
          <w:b/>
          <w:bCs/>
          <w:color w:val="3B3838" w:themeColor="background2" w:themeShade="40"/>
          <w:sz w:val="22"/>
          <w:szCs w:val="22"/>
          <w:lang w:bidi="ar-SA"/>
        </w:rPr>
        <w:t xml:space="preserve"> </w:t>
      </w:r>
      <w:bookmarkStart w:id="4" w:name="_Hlk91575990"/>
      <w:r w:rsidR="00507083">
        <w:rPr>
          <w:rFonts w:eastAsiaTheme="minorHAnsi"/>
          <w:i/>
          <w:iCs/>
          <w:color w:val="000000" w:themeColor="text1"/>
          <w:sz w:val="22"/>
          <w:szCs w:val="22"/>
          <w:lang w:bidi="ar-SA"/>
        </w:rPr>
        <w:t>Required beginning</w:t>
      </w:r>
      <w:r w:rsidRPr="00351069">
        <w:rPr>
          <w:rFonts w:eastAsiaTheme="minorHAnsi"/>
          <w:i/>
          <w:iCs/>
          <w:color w:val="000000" w:themeColor="text1"/>
          <w:sz w:val="22"/>
          <w:szCs w:val="22"/>
          <w:lang w:bidi="ar-SA"/>
        </w:rPr>
        <w:t xml:space="preserve"> July 1, 2022</w:t>
      </w:r>
      <w:bookmarkEnd w:id="4"/>
    </w:p>
    <w:p w14:paraId="415C485A" w14:textId="774FAE25" w:rsidR="0039308A" w:rsidRPr="00255059" w:rsidRDefault="00EC75E8" w:rsidP="00271009">
      <w:pPr>
        <w:spacing w:after="160" w:line="276" w:lineRule="auto"/>
        <w:rPr>
          <w:rFonts w:eastAsiaTheme="minorHAnsi"/>
          <w:color w:val="3B3838" w:themeColor="background2" w:themeShade="40"/>
          <w:lang w:bidi="ar-SA"/>
        </w:rPr>
      </w:pPr>
      <w:r>
        <w:rPr>
          <w:rFonts w:eastAsiaTheme="minorHAnsi"/>
          <w:color w:val="3B3838" w:themeColor="background2" w:themeShade="40"/>
          <w:lang w:bidi="ar-SA"/>
        </w:rPr>
        <w:t>M</w:t>
      </w:r>
      <w:r w:rsidR="00255059" w:rsidRPr="0039308A">
        <w:rPr>
          <w:rFonts w:eastAsiaTheme="minorHAnsi"/>
          <w:color w:val="3B3838" w:themeColor="background2" w:themeShade="40"/>
          <w:lang w:bidi="ar-SA"/>
        </w:rPr>
        <w:t>achine-readable file</w:t>
      </w:r>
      <w:r w:rsidR="00255059">
        <w:rPr>
          <w:rFonts w:eastAsiaTheme="minorHAnsi"/>
          <w:color w:val="3B3838" w:themeColor="background2" w:themeShade="40"/>
          <w:lang w:bidi="ar-SA"/>
        </w:rPr>
        <w:t>s with</w:t>
      </w:r>
      <w:r w:rsidR="0039308A" w:rsidRPr="0039308A">
        <w:rPr>
          <w:rFonts w:eastAsiaTheme="minorHAnsi"/>
          <w:color w:val="3B3838" w:themeColor="background2" w:themeShade="40"/>
          <w:lang w:bidi="ar-SA"/>
        </w:rPr>
        <w:t xml:space="preserve"> reimbursement rate</w:t>
      </w:r>
      <w:r w:rsidR="00255059">
        <w:rPr>
          <w:rFonts w:eastAsiaTheme="minorHAnsi"/>
          <w:color w:val="3B3838" w:themeColor="background2" w:themeShade="40"/>
          <w:lang w:bidi="ar-SA"/>
        </w:rPr>
        <w:t>s for</w:t>
      </w:r>
      <w:r w:rsidR="0039308A" w:rsidRPr="0039308A">
        <w:rPr>
          <w:rFonts w:eastAsiaTheme="minorHAnsi"/>
          <w:color w:val="3B3838" w:themeColor="background2" w:themeShade="40"/>
          <w:lang w:bidi="ar-SA"/>
        </w:rPr>
        <w:t>:</w:t>
      </w:r>
      <w:r w:rsidR="00255059">
        <w:rPr>
          <w:rFonts w:eastAsiaTheme="minorHAnsi"/>
          <w:color w:val="3B3838" w:themeColor="background2" w:themeShade="40"/>
          <w:lang w:bidi="ar-SA"/>
        </w:rPr>
        <w:t xml:space="preserve"> (i) i</w:t>
      </w:r>
      <w:r w:rsidR="0039308A" w:rsidRPr="00255059">
        <w:rPr>
          <w:rFonts w:eastAsiaTheme="minorHAnsi"/>
          <w:color w:val="3B3838" w:themeColor="background2" w:themeShade="40"/>
          <w:lang w:bidi="ar-SA"/>
        </w:rPr>
        <w:t>n-network provider rates for covered items and services; and</w:t>
      </w:r>
      <w:r w:rsidR="00F42679" w:rsidRPr="00255059">
        <w:rPr>
          <w:rFonts w:eastAsiaTheme="minorHAnsi"/>
          <w:color w:val="3B3838" w:themeColor="background2" w:themeShade="40"/>
          <w:lang w:bidi="ar-SA"/>
        </w:rPr>
        <w:t xml:space="preserve"> </w:t>
      </w:r>
      <w:r w:rsidR="00255059">
        <w:rPr>
          <w:rFonts w:eastAsiaTheme="minorHAnsi"/>
          <w:color w:val="3B3838" w:themeColor="background2" w:themeShade="40"/>
          <w:lang w:bidi="ar-SA"/>
        </w:rPr>
        <w:t>(ii) o</w:t>
      </w:r>
      <w:r w:rsidR="0039308A" w:rsidRPr="00255059">
        <w:rPr>
          <w:rFonts w:eastAsiaTheme="minorHAnsi"/>
          <w:color w:val="3B3838" w:themeColor="background2" w:themeShade="40"/>
          <w:lang w:bidi="ar-SA"/>
        </w:rPr>
        <w:t>ut-of-network allowed amounts for covered items and services</w:t>
      </w:r>
      <w:r>
        <w:rPr>
          <w:rFonts w:eastAsiaTheme="minorHAnsi"/>
          <w:color w:val="3B3838" w:themeColor="background2" w:themeShade="40"/>
          <w:lang w:bidi="ar-SA"/>
        </w:rPr>
        <w:t xml:space="preserve"> must be</w:t>
      </w:r>
      <w:r w:rsidRPr="0039308A">
        <w:rPr>
          <w:rFonts w:eastAsiaTheme="minorHAnsi"/>
          <w:color w:val="3B3838" w:themeColor="background2" w:themeShade="40"/>
          <w:lang w:bidi="ar-SA"/>
        </w:rPr>
        <w:t xml:space="preserve"> </w:t>
      </w:r>
      <w:r>
        <w:rPr>
          <w:rFonts w:eastAsiaTheme="minorHAnsi"/>
          <w:color w:val="3B3838" w:themeColor="background2" w:themeShade="40"/>
          <w:lang w:bidi="ar-SA"/>
        </w:rPr>
        <w:t>posted on the plan’s public-facing website</w:t>
      </w:r>
      <w:r w:rsidR="008011D7">
        <w:rPr>
          <w:rFonts w:eastAsiaTheme="minorHAnsi"/>
          <w:color w:val="3B3838" w:themeColor="background2" w:themeShade="40"/>
          <w:lang w:bidi="ar-SA"/>
        </w:rPr>
        <w:t>, or on a TPAs public-facing website if there is a written statement confirming that the TPA will do so</w:t>
      </w:r>
      <w:r w:rsidR="0039308A" w:rsidRPr="00255059">
        <w:rPr>
          <w:rFonts w:eastAsiaTheme="minorHAnsi"/>
          <w:color w:val="3B3838" w:themeColor="background2" w:themeShade="40"/>
          <w:lang w:bidi="ar-SA"/>
        </w:rPr>
        <w:t>.</w:t>
      </w:r>
      <w:r w:rsidR="00271009">
        <w:rPr>
          <w:rFonts w:eastAsiaTheme="minorHAnsi"/>
          <w:color w:val="3B3838" w:themeColor="background2" w:themeShade="40"/>
          <w:lang w:bidi="ar-SA"/>
        </w:rPr>
        <w:t xml:space="preserve"> </w:t>
      </w:r>
      <w:r w:rsidR="00271009" w:rsidRPr="00271009">
        <w:rPr>
          <w:rFonts w:eastAsiaTheme="minorHAnsi"/>
          <w:color w:val="3B3838" w:themeColor="background2" w:themeShade="40"/>
          <w:lang w:bidi="ar-SA"/>
        </w:rPr>
        <w:t>The machine-readable</w:t>
      </w:r>
      <w:r w:rsidR="00271009">
        <w:rPr>
          <w:rFonts w:eastAsiaTheme="minorHAnsi"/>
          <w:color w:val="3B3838" w:themeColor="background2" w:themeShade="40"/>
          <w:lang w:bidi="ar-SA"/>
        </w:rPr>
        <w:t xml:space="preserve"> </w:t>
      </w:r>
      <w:r w:rsidR="00271009" w:rsidRPr="00271009">
        <w:rPr>
          <w:rFonts w:eastAsiaTheme="minorHAnsi"/>
          <w:color w:val="3B3838" w:themeColor="background2" w:themeShade="40"/>
          <w:lang w:bidi="ar-SA"/>
        </w:rPr>
        <w:t>files must be updated monthly and clearly indicate the date the filed was last updated.</w:t>
      </w:r>
    </w:p>
    <w:p w14:paraId="3D793D35" w14:textId="3AAE6CF2" w:rsidR="00351069" w:rsidRPr="00950FCF" w:rsidRDefault="00EC75E8" w:rsidP="00EC75E8">
      <w:pPr>
        <w:numPr>
          <w:ilvl w:val="0"/>
          <w:numId w:val="16"/>
        </w:numPr>
        <w:spacing w:after="160" w:line="276" w:lineRule="auto"/>
        <w:contextualSpacing/>
        <w:rPr>
          <w:rFonts w:eastAsiaTheme="minorHAnsi"/>
          <w:color w:val="3B3838" w:themeColor="background2" w:themeShade="40"/>
          <w:lang w:bidi="ar-SA"/>
        </w:rPr>
      </w:pPr>
      <w:r w:rsidRPr="00950FCF">
        <w:rPr>
          <w:rFonts w:eastAsiaTheme="minorHAnsi"/>
          <w:color w:val="3B3838" w:themeColor="background2" w:themeShade="40"/>
          <w:lang w:bidi="ar-SA"/>
        </w:rPr>
        <w:t>Confirm the TPA will post the machine-readable file on their public website and update the files monthly</w:t>
      </w:r>
    </w:p>
    <w:p w14:paraId="556B8365" w14:textId="4C763D96" w:rsidR="00F526D9" w:rsidRPr="00950FCF" w:rsidRDefault="0098357D" w:rsidP="00F526D9">
      <w:pPr>
        <w:numPr>
          <w:ilvl w:val="0"/>
          <w:numId w:val="16"/>
        </w:numPr>
        <w:spacing w:after="160" w:line="276" w:lineRule="auto"/>
        <w:contextualSpacing/>
        <w:rPr>
          <w:rFonts w:eastAsiaTheme="minorHAnsi"/>
          <w:color w:val="3B3838" w:themeColor="background2" w:themeShade="40"/>
          <w:lang w:bidi="ar-SA"/>
        </w:rPr>
      </w:pPr>
      <w:r w:rsidRPr="00950FCF">
        <w:rPr>
          <w:rFonts w:eastAsiaTheme="minorHAnsi"/>
          <w:color w:val="3B3838" w:themeColor="background2" w:themeShade="40"/>
          <w:lang w:bidi="ar-SA"/>
        </w:rPr>
        <w:t>Confirm in writing</w:t>
      </w:r>
      <w:r w:rsidR="002B16BC" w:rsidRPr="00950FCF">
        <w:rPr>
          <w:rFonts w:eastAsiaTheme="minorHAnsi"/>
          <w:color w:val="3B3838" w:themeColor="background2" w:themeShade="40"/>
          <w:lang w:bidi="ar-SA"/>
        </w:rPr>
        <w:t xml:space="preserve"> (in the TPA contract or otherwise)</w:t>
      </w:r>
      <w:r w:rsidRPr="00950FCF">
        <w:rPr>
          <w:rFonts w:eastAsiaTheme="minorHAnsi"/>
          <w:color w:val="3B3838" w:themeColor="background2" w:themeShade="40"/>
          <w:lang w:bidi="ar-SA"/>
        </w:rPr>
        <w:t xml:space="preserve"> </w:t>
      </w:r>
      <w:r w:rsidR="00717C72">
        <w:rPr>
          <w:rFonts w:eastAsiaTheme="minorHAnsi"/>
          <w:color w:val="3B3838" w:themeColor="background2" w:themeShade="40"/>
          <w:lang w:bidi="ar-SA"/>
        </w:rPr>
        <w:t>that</w:t>
      </w:r>
      <w:r w:rsidRPr="00950FCF">
        <w:rPr>
          <w:rFonts w:eastAsiaTheme="minorHAnsi"/>
          <w:color w:val="3B3838" w:themeColor="background2" w:themeShade="40"/>
          <w:lang w:bidi="ar-SA"/>
        </w:rPr>
        <w:t xml:space="preserve"> the TPA will handle this requirement </w:t>
      </w:r>
      <w:r w:rsidR="002B16BC" w:rsidRPr="00950FCF">
        <w:rPr>
          <w:rFonts w:eastAsiaTheme="minorHAnsi"/>
          <w:color w:val="3B3838" w:themeColor="background2" w:themeShade="40"/>
          <w:lang w:bidi="ar-SA"/>
        </w:rPr>
        <w:t>on behalf of the plan so that the employer does not have to post the files on the employer’s public-facing website</w:t>
      </w:r>
    </w:p>
    <w:p w14:paraId="6D317F9D" w14:textId="2C2E2953" w:rsidR="00351069" w:rsidRPr="00950FCF" w:rsidRDefault="00351069" w:rsidP="00351069">
      <w:pPr>
        <w:spacing w:after="160" w:line="276" w:lineRule="auto"/>
        <w:ind w:left="720"/>
        <w:contextualSpacing/>
        <w:rPr>
          <w:rFonts w:eastAsiaTheme="minorHAnsi"/>
          <w:color w:val="3B3838" w:themeColor="background2" w:themeShade="40"/>
          <w:lang w:bidi="ar-SA"/>
        </w:rPr>
      </w:pPr>
    </w:p>
    <w:p w14:paraId="01F41824" w14:textId="77777777" w:rsidR="00ED4A5E" w:rsidRPr="00950FCF" w:rsidRDefault="00ED4A5E" w:rsidP="00351069">
      <w:pPr>
        <w:spacing w:after="160" w:line="276" w:lineRule="auto"/>
        <w:ind w:left="720"/>
        <w:contextualSpacing/>
        <w:rPr>
          <w:rFonts w:eastAsiaTheme="minorHAnsi"/>
          <w:color w:val="3B3838" w:themeColor="background2" w:themeShade="40"/>
          <w:lang w:bidi="ar-SA"/>
        </w:rPr>
      </w:pPr>
    </w:p>
    <w:p w14:paraId="74AE056A" w14:textId="5105C6C9" w:rsidR="00351069" w:rsidRPr="00CF758A" w:rsidRDefault="00351069" w:rsidP="00351069">
      <w:pPr>
        <w:numPr>
          <w:ilvl w:val="0"/>
          <w:numId w:val="14"/>
        </w:numPr>
        <w:spacing w:after="160" w:line="259" w:lineRule="auto"/>
        <w:contextualSpacing/>
        <w:rPr>
          <w:rFonts w:eastAsiaTheme="minorHAnsi"/>
          <w:i/>
          <w:iCs/>
          <w:color w:val="0070C0"/>
          <w:sz w:val="22"/>
          <w:szCs w:val="22"/>
          <w:lang w:bidi="ar-SA"/>
        </w:rPr>
      </w:pPr>
      <w:r w:rsidRPr="00351069">
        <w:rPr>
          <w:rFonts w:eastAsiaTheme="minorHAnsi"/>
          <w:b/>
          <w:bCs/>
          <w:color w:val="3B3838" w:themeColor="background2" w:themeShade="40"/>
          <w:sz w:val="22"/>
          <w:szCs w:val="22"/>
          <w:lang w:bidi="ar-SA"/>
        </w:rPr>
        <w:t xml:space="preserve">Drug Cost Reporting </w:t>
      </w:r>
      <w:r w:rsidR="00507083">
        <w:rPr>
          <w:rFonts w:eastAsiaTheme="minorHAnsi"/>
          <w:b/>
          <w:bCs/>
          <w:color w:val="3B3838" w:themeColor="background2" w:themeShade="40"/>
          <w:sz w:val="22"/>
          <w:szCs w:val="22"/>
          <w:lang w:bidi="ar-SA"/>
        </w:rPr>
        <w:t>–</w:t>
      </w:r>
      <w:r w:rsidRPr="00351069">
        <w:rPr>
          <w:rFonts w:eastAsiaTheme="minorHAnsi"/>
          <w:b/>
          <w:bCs/>
          <w:color w:val="3B3838" w:themeColor="background2" w:themeShade="40"/>
          <w:sz w:val="22"/>
          <w:szCs w:val="22"/>
          <w:lang w:bidi="ar-SA"/>
        </w:rPr>
        <w:t xml:space="preserve"> </w:t>
      </w:r>
      <w:r w:rsidR="00507083">
        <w:rPr>
          <w:rFonts w:eastAsiaTheme="minorHAnsi"/>
          <w:i/>
          <w:iCs/>
          <w:color w:val="000000" w:themeColor="text1"/>
          <w:sz w:val="22"/>
          <w:szCs w:val="22"/>
          <w:lang w:bidi="ar-SA"/>
        </w:rPr>
        <w:t>Required beginning December 27, 2022 and annually in June thereafter</w:t>
      </w:r>
    </w:p>
    <w:p w14:paraId="2F633CE9" w14:textId="49DF1573" w:rsidR="00E2486A" w:rsidRDefault="000F64E9" w:rsidP="00C223BA">
      <w:pPr>
        <w:spacing w:after="160" w:line="276" w:lineRule="auto"/>
        <w:rPr>
          <w:rFonts w:eastAsiaTheme="minorHAnsi"/>
          <w:color w:val="3B3838" w:themeColor="background2" w:themeShade="40"/>
          <w:lang w:bidi="ar-SA"/>
        </w:rPr>
      </w:pPr>
      <w:r>
        <w:rPr>
          <w:rFonts w:eastAsiaTheme="minorHAnsi"/>
          <w:color w:val="3B3838" w:themeColor="background2" w:themeShade="40"/>
          <w:lang w:bidi="ar-SA"/>
        </w:rPr>
        <w:t xml:space="preserve">A plan list file and 8 data files, along with narratives, </w:t>
      </w:r>
      <w:r w:rsidR="00980B47">
        <w:rPr>
          <w:rFonts w:eastAsiaTheme="minorHAnsi"/>
          <w:color w:val="3B3838" w:themeColor="background2" w:themeShade="40"/>
          <w:lang w:bidi="ar-SA"/>
        </w:rPr>
        <w:t xml:space="preserve">containing certain information about </w:t>
      </w:r>
      <w:r w:rsidR="001C05FE">
        <w:rPr>
          <w:rFonts w:eastAsiaTheme="minorHAnsi"/>
          <w:color w:val="3B3838" w:themeColor="background2" w:themeShade="40"/>
          <w:lang w:bidi="ar-SA"/>
        </w:rPr>
        <w:t xml:space="preserve">the plan’s </w:t>
      </w:r>
      <w:r w:rsidR="00980B47">
        <w:rPr>
          <w:rFonts w:eastAsiaTheme="minorHAnsi"/>
          <w:color w:val="3B3838" w:themeColor="background2" w:themeShade="40"/>
          <w:lang w:bidi="ar-SA"/>
        </w:rPr>
        <w:t xml:space="preserve">prescription drug and health care spending </w:t>
      </w:r>
      <w:r>
        <w:rPr>
          <w:rFonts w:eastAsiaTheme="minorHAnsi"/>
          <w:color w:val="3B3838" w:themeColor="background2" w:themeShade="40"/>
          <w:lang w:bidi="ar-SA"/>
        </w:rPr>
        <w:t xml:space="preserve">must be </w:t>
      </w:r>
      <w:r w:rsidR="00893105">
        <w:rPr>
          <w:rFonts w:eastAsiaTheme="minorHAnsi"/>
          <w:color w:val="3B3838" w:themeColor="background2" w:themeShade="40"/>
          <w:lang w:bidi="ar-SA"/>
        </w:rPr>
        <w:t xml:space="preserve">submitted </w:t>
      </w:r>
      <w:r w:rsidR="00CF758A">
        <w:rPr>
          <w:rFonts w:eastAsiaTheme="minorHAnsi"/>
          <w:color w:val="3B3838" w:themeColor="background2" w:themeShade="40"/>
          <w:lang w:bidi="ar-SA"/>
        </w:rPr>
        <w:t xml:space="preserve">annually </w:t>
      </w:r>
      <w:r w:rsidR="00893105">
        <w:rPr>
          <w:rFonts w:eastAsiaTheme="minorHAnsi"/>
          <w:color w:val="3B3838" w:themeColor="background2" w:themeShade="40"/>
          <w:lang w:bidi="ar-SA"/>
        </w:rPr>
        <w:t>to CMS</w:t>
      </w:r>
      <w:r w:rsidR="008F1672">
        <w:rPr>
          <w:rFonts w:eastAsiaTheme="minorHAnsi"/>
          <w:color w:val="3B3838" w:themeColor="background2" w:themeShade="40"/>
          <w:lang w:bidi="ar-SA"/>
        </w:rPr>
        <w:t xml:space="preserve"> (the RxDC Report)</w:t>
      </w:r>
      <w:r w:rsidR="00CF758A">
        <w:rPr>
          <w:rFonts w:eastAsiaTheme="minorHAnsi"/>
          <w:color w:val="3B3838" w:themeColor="background2" w:themeShade="40"/>
          <w:lang w:bidi="ar-SA"/>
        </w:rPr>
        <w:t xml:space="preserve">. </w:t>
      </w:r>
      <w:r w:rsidR="00420494">
        <w:rPr>
          <w:rFonts w:eastAsiaTheme="minorHAnsi"/>
          <w:color w:val="3B3838" w:themeColor="background2" w:themeShade="40"/>
          <w:lang w:bidi="ar-SA"/>
        </w:rPr>
        <w:t xml:space="preserve">It is possible the </w:t>
      </w:r>
      <w:r w:rsidR="006E1848">
        <w:rPr>
          <w:rFonts w:eastAsiaTheme="minorHAnsi"/>
          <w:color w:val="3B3838" w:themeColor="background2" w:themeShade="40"/>
          <w:lang w:bidi="ar-SA"/>
        </w:rPr>
        <w:t xml:space="preserve">information required for the RxDC Report will need to be gathered from several different sources (e.g., </w:t>
      </w:r>
      <w:r w:rsidR="00E2486A">
        <w:rPr>
          <w:rFonts w:eastAsiaTheme="minorHAnsi"/>
          <w:color w:val="3B3838" w:themeColor="background2" w:themeShade="40"/>
          <w:lang w:bidi="ar-SA"/>
        </w:rPr>
        <w:t>TPA, PBM, other vendors, employer)</w:t>
      </w:r>
      <w:r w:rsidR="00C223BA">
        <w:rPr>
          <w:rFonts w:eastAsiaTheme="minorHAnsi"/>
          <w:color w:val="3B3838" w:themeColor="background2" w:themeShade="40"/>
          <w:lang w:bidi="ar-SA"/>
        </w:rPr>
        <w:t xml:space="preserve">, and that there </w:t>
      </w:r>
      <w:r w:rsidR="00C223BA" w:rsidRPr="00C223BA">
        <w:rPr>
          <w:rFonts w:eastAsiaTheme="minorHAnsi"/>
          <w:color w:val="3B3838" w:themeColor="background2" w:themeShade="40"/>
          <w:lang w:bidi="ar-SA"/>
        </w:rPr>
        <w:t>may be multiple</w:t>
      </w:r>
      <w:r w:rsidR="00C223BA">
        <w:rPr>
          <w:rFonts w:eastAsiaTheme="minorHAnsi"/>
          <w:color w:val="3B3838" w:themeColor="background2" w:themeShade="40"/>
          <w:lang w:bidi="ar-SA"/>
        </w:rPr>
        <w:t xml:space="preserve"> </w:t>
      </w:r>
      <w:r w:rsidR="00C223BA" w:rsidRPr="00C223BA">
        <w:rPr>
          <w:rFonts w:eastAsiaTheme="minorHAnsi"/>
          <w:color w:val="3B3838" w:themeColor="background2" w:themeShade="40"/>
          <w:lang w:bidi="ar-SA"/>
        </w:rPr>
        <w:t xml:space="preserve">reporting entities involved in compiling and submitting data for </w:t>
      </w:r>
      <w:r w:rsidR="00C223BA">
        <w:rPr>
          <w:rFonts w:eastAsiaTheme="minorHAnsi"/>
          <w:color w:val="3B3838" w:themeColor="background2" w:themeShade="40"/>
          <w:lang w:bidi="ar-SA"/>
        </w:rPr>
        <w:t>the plan.</w:t>
      </w:r>
    </w:p>
    <w:p w14:paraId="7F49837D" w14:textId="441B3193" w:rsidR="002C148F" w:rsidRPr="00950FCF" w:rsidRDefault="002462FD" w:rsidP="003B0553">
      <w:pPr>
        <w:numPr>
          <w:ilvl w:val="0"/>
          <w:numId w:val="16"/>
        </w:numPr>
        <w:spacing w:after="160" w:line="276" w:lineRule="auto"/>
        <w:contextualSpacing/>
        <w:rPr>
          <w:rFonts w:eastAsiaTheme="minorHAnsi"/>
          <w:color w:val="3B3838" w:themeColor="background2" w:themeShade="40"/>
          <w:lang w:bidi="ar-SA"/>
        </w:rPr>
      </w:pPr>
      <w:r w:rsidRPr="00950FCF">
        <w:rPr>
          <w:rFonts w:eastAsiaTheme="minorHAnsi"/>
          <w:color w:val="3B3838" w:themeColor="background2" w:themeShade="40"/>
          <w:lang w:bidi="ar-SA"/>
        </w:rPr>
        <w:t xml:space="preserve">Confirm </w:t>
      </w:r>
      <w:r w:rsidR="00717AF5" w:rsidRPr="00950FCF">
        <w:rPr>
          <w:rFonts w:eastAsiaTheme="minorHAnsi"/>
          <w:color w:val="3B3838" w:themeColor="background2" w:themeShade="40"/>
          <w:lang w:bidi="ar-SA"/>
        </w:rPr>
        <w:t>which files, if any, the TPA will submit on behalf of the plan</w:t>
      </w:r>
      <w:r w:rsidR="003B0553" w:rsidRPr="00950FCF">
        <w:rPr>
          <w:rFonts w:eastAsiaTheme="minorHAnsi"/>
          <w:color w:val="3B3838" w:themeColor="background2" w:themeShade="40"/>
          <w:lang w:bidi="ar-SA"/>
        </w:rPr>
        <w:t xml:space="preserve"> and whether </w:t>
      </w:r>
      <w:r w:rsidR="007878AA" w:rsidRPr="00950FCF">
        <w:rPr>
          <w:rFonts w:eastAsiaTheme="minorHAnsi"/>
          <w:color w:val="3B3838" w:themeColor="background2" w:themeShade="40"/>
          <w:lang w:bidi="ar-SA"/>
        </w:rPr>
        <w:t>the TPA</w:t>
      </w:r>
      <w:r w:rsidR="003B0553" w:rsidRPr="00950FCF">
        <w:rPr>
          <w:rFonts w:eastAsiaTheme="minorHAnsi"/>
          <w:color w:val="3B3838" w:themeColor="background2" w:themeShade="40"/>
          <w:lang w:bidi="ar-SA"/>
        </w:rPr>
        <w:t xml:space="preserve"> will</w:t>
      </w:r>
      <w:r w:rsidR="007878AA" w:rsidRPr="00950FCF">
        <w:rPr>
          <w:rFonts w:eastAsiaTheme="minorHAnsi"/>
          <w:color w:val="3B3838" w:themeColor="background2" w:themeShade="40"/>
          <w:lang w:bidi="ar-SA"/>
        </w:rPr>
        <w:t xml:space="preserve"> </w:t>
      </w:r>
      <w:r w:rsidR="001F3D78" w:rsidRPr="00950FCF">
        <w:rPr>
          <w:rFonts w:eastAsiaTheme="minorHAnsi"/>
          <w:color w:val="3B3838" w:themeColor="background2" w:themeShade="40"/>
          <w:lang w:bidi="ar-SA"/>
        </w:rPr>
        <w:t>incorporate information from other vendors</w:t>
      </w:r>
    </w:p>
    <w:p w14:paraId="15502FAD" w14:textId="77777777" w:rsidR="003B0553" w:rsidRPr="00950FCF" w:rsidRDefault="002C148F" w:rsidP="00D04A1D">
      <w:pPr>
        <w:numPr>
          <w:ilvl w:val="1"/>
          <w:numId w:val="16"/>
        </w:numPr>
        <w:spacing w:after="160" w:line="276" w:lineRule="auto"/>
        <w:contextualSpacing/>
        <w:rPr>
          <w:rFonts w:eastAsiaTheme="minorHAnsi"/>
          <w:color w:val="3B3838" w:themeColor="background2" w:themeShade="40"/>
          <w:lang w:bidi="ar-SA"/>
        </w:rPr>
      </w:pPr>
      <w:r w:rsidRPr="00950FCF">
        <w:rPr>
          <w:rFonts w:eastAsiaTheme="minorHAnsi"/>
          <w:color w:val="3B3838" w:themeColor="background2" w:themeShade="40"/>
          <w:lang w:bidi="ar-SA"/>
        </w:rPr>
        <w:t xml:space="preserve">If the TPA will not </w:t>
      </w:r>
      <w:r w:rsidR="003B0553" w:rsidRPr="00950FCF">
        <w:rPr>
          <w:rFonts w:eastAsiaTheme="minorHAnsi"/>
          <w:color w:val="3B3838" w:themeColor="background2" w:themeShade="40"/>
          <w:lang w:bidi="ar-SA"/>
        </w:rPr>
        <w:t>assist with the reporting</w:t>
      </w:r>
      <w:r w:rsidRPr="00950FCF">
        <w:rPr>
          <w:rFonts w:eastAsiaTheme="minorHAnsi"/>
          <w:color w:val="3B3838" w:themeColor="background2" w:themeShade="40"/>
          <w:lang w:bidi="ar-SA"/>
        </w:rPr>
        <w:t xml:space="preserve">, confirm how the plan information will be shared to allow the employer to report </w:t>
      </w:r>
    </w:p>
    <w:p w14:paraId="3792EE01" w14:textId="766DF8BF" w:rsidR="00F526D9" w:rsidRPr="00950FCF" w:rsidRDefault="00717AF5" w:rsidP="00F526D9">
      <w:pPr>
        <w:numPr>
          <w:ilvl w:val="0"/>
          <w:numId w:val="16"/>
        </w:numPr>
        <w:spacing w:after="160" w:line="276" w:lineRule="auto"/>
        <w:contextualSpacing/>
        <w:rPr>
          <w:rFonts w:eastAsiaTheme="minorHAnsi"/>
          <w:color w:val="3B3838" w:themeColor="background2" w:themeShade="40"/>
          <w:lang w:bidi="ar-SA"/>
        </w:rPr>
      </w:pPr>
      <w:r w:rsidRPr="00950FCF">
        <w:rPr>
          <w:rFonts w:eastAsiaTheme="minorHAnsi"/>
          <w:color w:val="3B3838" w:themeColor="background2" w:themeShade="40"/>
          <w:lang w:bidi="ar-SA"/>
        </w:rPr>
        <w:t xml:space="preserve">Confirm if there is </w:t>
      </w:r>
      <w:r w:rsidR="007878AA" w:rsidRPr="00950FCF">
        <w:rPr>
          <w:rFonts w:eastAsiaTheme="minorHAnsi"/>
          <w:color w:val="3B3838" w:themeColor="background2" w:themeShade="40"/>
          <w:lang w:bidi="ar-SA"/>
        </w:rPr>
        <w:t xml:space="preserve">additional </w:t>
      </w:r>
      <w:r w:rsidRPr="00950FCF">
        <w:rPr>
          <w:rFonts w:eastAsiaTheme="minorHAnsi"/>
          <w:color w:val="3B3838" w:themeColor="background2" w:themeShade="40"/>
          <w:lang w:bidi="ar-SA"/>
        </w:rPr>
        <w:t>information</w:t>
      </w:r>
      <w:r w:rsidR="00D04A1D" w:rsidRPr="00950FCF">
        <w:rPr>
          <w:rFonts w:eastAsiaTheme="minorHAnsi"/>
          <w:color w:val="3B3838" w:themeColor="background2" w:themeShade="40"/>
          <w:lang w:bidi="ar-SA"/>
        </w:rPr>
        <w:t xml:space="preserve"> or files</w:t>
      </w:r>
      <w:r w:rsidRPr="00950FCF">
        <w:rPr>
          <w:rFonts w:eastAsiaTheme="minorHAnsi"/>
          <w:color w:val="3B3838" w:themeColor="background2" w:themeShade="40"/>
          <w:lang w:bidi="ar-SA"/>
        </w:rPr>
        <w:t xml:space="preserve"> </w:t>
      </w:r>
      <w:r w:rsidR="001A407B" w:rsidRPr="00950FCF">
        <w:rPr>
          <w:rFonts w:eastAsiaTheme="minorHAnsi"/>
          <w:color w:val="3B3838" w:themeColor="background2" w:themeShade="40"/>
          <w:lang w:bidi="ar-SA"/>
        </w:rPr>
        <w:t>that must be reported</w:t>
      </w:r>
      <w:r w:rsidR="00095F3C" w:rsidRPr="00950FCF">
        <w:rPr>
          <w:rFonts w:eastAsiaTheme="minorHAnsi"/>
          <w:color w:val="3B3838" w:themeColor="background2" w:themeShade="40"/>
          <w:lang w:bidi="ar-SA"/>
        </w:rPr>
        <w:t xml:space="preserve"> and who will report it</w:t>
      </w:r>
    </w:p>
    <w:p w14:paraId="1AC17289" w14:textId="77777777" w:rsidR="00F526D9" w:rsidRPr="00950FCF" w:rsidRDefault="00F526D9" w:rsidP="00F526D9">
      <w:pPr>
        <w:spacing w:after="160" w:line="276" w:lineRule="auto"/>
        <w:ind w:left="360"/>
        <w:contextualSpacing/>
        <w:rPr>
          <w:rFonts w:eastAsiaTheme="minorHAnsi"/>
          <w:color w:val="3B3838" w:themeColor="background2" w:themeShade="40"/>
          <w:lang w:bidi="ar-SA"/>
        </w:rPr>
      </w:pPr>
    </w:p>
    <w:p w14:paraId="0A53A0E7" w14:textId="77777777" w:rsidR="00F526D9" w:rsidRPr="00950FCF" w:rsidRDefault="00F526D9" w:rsidP="00F526D9">
      <w:pPr>
        <w:spacing w:after="160" w:line="276" w:lineRule="auto"/>
        <w:ind w:left="360"/>
        <w:contextualSpacing/>
        <w:rPr>
          <w:rFonts w:eastAsiaTheme="minorHAnsi"/>
          <w:color w:val="3B3838" w:themeColor="background2" w:themeShade="40"/>
          <w:lang w:bidi="ar-SA"/>
        </w:rPr>
      </w:pPr>
    </w:p>
    <w:p w14:paraId="1A05F6AC" w14:textId="221049AF" w:rsidR="00351069" w:rsidRPr="00351069" w:rsidRDefault="00351069" w:rsidP="00351069">
      <w:pPr>
        <w:numPr>
          <w:ilvl w:val="0"/>
          <w:numId w:val="14"/>
        </w:numPr>
        <w:spacing w:after="160" w:line="276" w:lineRule="auto"/>
        <w:contextualSpacing/>
        <w:rPr>
          <w:rFonts w:eastAsiaTheme="minorHAnsi"/>
          <w:color w:val="3B3838" w:themeColor="background2" w:themeShade="40"/>
          <w:sz w:val="22"/>
          <w:szCs w:val="22"/>
          <w:lang w:bidi="ar-SA"/>
        </w:rPr>
      </w:pPr>
      <w:r w:rsidRPr="00351069">
        <w:rPr>
          <w:rFonts w:eastAsiaTheme="minorHAnsi"/>
          <w:b/>
          <w:bCs/>
          <w:color w:val="3B3838" w:themeColor="background2" w:themeShade="40"/>
          <w:sz w:val="22"/>
          <w:szCs w:val="22"/>
          <w:lang w:bidi="ar-SA"/>
        </w:rPr>
        <w:t>TiC Final Rules: Advanced Cost Estimate “Price Comparison Tools”</w:t>
      </w:r>
      <w:r w:rsidRPr="00351069">
        <w:rPr>
          <w:rFonts w:eastAsiaTheme="minorHAnsi"/>
          <w:color w:val="3B3838" w:themeColor="background2" w:themeShade="40"/>
          <w:sz w:val="22"/>
          <w:szCs w:val="22"/>
          <w:lang w:bidi="ar-SA"/>
        </w:rPr>
        <w:t xml:space="preserve"> </w:t>
      </w:r>
      <w:r w:rsidRPr="00351069">
        <w:rPr>
          <w:rFonts w:eastAsiaTheme="minorHAnsi"/>
          <w:b/>
          <w:bCs/>
          <w:color w:val="3B3838" w:themeColor="background2" w:themeShade="40"/>
          <w:sz w:val="22"/>
          <w:szCs w:val="22"/>
          <w:lang w:bidi="ar-SA"/>
        </w:rPr>
        <w:t xml:space="preserve">– </w:t>
      </w:r>
      <w:r w:rsidRPr="00351069">
        <w:rPr>
          <w:rFonts w:eastAsiaTheme="minorHAnsi"/>
          <w:i/>
          <w:iCs/>
          <w:color w:val="000000" w:themeColor="text1"/>
          <w:sz w:val="22"/>
          <w:szCs w:val="22"/>
          <w:lang w:bidi="ar-SA"/>
        </w:rPr>
        <w:t>Effective for 500 items and services on January 1, 2023</w:t>
      </w:r>
      <w:r w:rsidR="003E02EE">
        <w:rPr>
          <w:rFonts w:eastAsiaTheme="minorHAnsi"/>
          <w:i/>
          <w:iCs/>
          <w:color w:val="000000" w:themeColor="text1"/>
          <w:sz w:val="22"/>
          <w:szCs w:val="22"/>
          <w:lang w:bidi="ar-SA"/>
        </w:rPr>
        <w:t>;</w:t>
      </w:r>
      <w:r w:rsidRPr="00351069">
        <w:rPr>
          <w:rFonts w:eastAsiaTheme="minorHAnsi"/>
          <w:i/>
          <w:iCs/>
          <w:color w:val="000000" w:themeColor="text1"/>
          <w:sz w:val="22"/>
          <w:szCs w:val="22"/>
          <w:lang w:bidi="ar-SA"/>
        </w:rPr>
        <w:t xml:space="preserve"> effective for all items and services on January 1, 2024</w:t>
      </w:r>
    </w:p>
    <w:p w14:paraId="777C4289" w14:textId="28F2856C" w:rsidR="00C34F19" w:rsidRDefault="00E24CED" w:rsidP="00351069">
      <w:pPr>
        <w:spacing w:after="160" w:line="276" w:lineRule="auto"/>
        <w:rPr>
          <w:rFonts w:eastAsiaTheme="minorHAnsi"/>
          <w:color w:val="3B3838" w:themeColor="background2" w:themeShade="40"/>
          <w:lang w:bidi="ar-SA"/>
        </w:rPr>
      </w:pPr>
      <w:r>
        <w:rPr>
          <w:rFonts w:eastAsiaTheme="minorHAnsi"/>
          <w:color w:val="3B3838" w:themeColor="background2" w:themeShade="40"/>
          <w:lang w:bidi="ar-SA"/>
        </w:rPr>
        <w:t>A price comparison tool</w:t>
      </w:r>
      <w:r w:rsidR="00C34F19">
        <w:rPr>
          <w:rFonts w:eastAsiaTheme="minorHAnsi"/>
          <w:color w:val="3B3838" w:themeColor="background2" w:themeShade="40"/>
          <w:lang w:bidi="ar-SA"/>
        </w:rPr>
        <w:t xml:space="preserve">, </w:t>
      </w:r>
      <w:r w:rsidR="00C34F19" w:rsidRPr="00351069">
        <w:rPr>
          <w:rFonts w:eastAsiaTheme="minorHAnsi"/>
          <w:color w:val="3B3838" w:themeColor="background2" w:themeShade="40"/>
          <w:lang w:bidi="ar-SA"/>
        </w:rPr>
        <w:t>including estimates of cost-sharing for covered health care items and services from each provider,</w:t>
      </w:r>
      <w:r w:rsidR="00C34F19">
        <w:rPr>
          <w:rFonts w:eastAsiaTheme="minorHAnsi"/>
          <w:color w:val="3B3838" w:themeColor="background2" w:themeShade="40"/>
          <w:lang w:bidi="ar-SA"/>
        </w:rPr>
        <w:t xml:space="preserve"> must be made available via a</w:t>
      </w:r>
      <w:r w:rsidR="00D56973">
        <w:rPr>
          <w:rFonts w:eastAsiaTheme="minorHAnsi"/>
          <w:color w:val="3B3838" w:themeColor="background2" w:themeShade="40"/>
          <w:lang w:bidi="ar-SA"/>
        </w:rPr>
        <w:t xml:space="preserve"> web-based tool as well as by phone or paper upon request.</w:t>
      </w:r>
      <w:r>
        <w:rPr>
          <w:rFonts w:eastAsiaTheme="minorHAnsi"/>
          <w:color w:val="3B3838" w:themeColor="background2" w:themeShade="40"/>
          <w:lang w:bidi="ar-SA"/>
        </w:rPr>
        <w:t xml:space="preserve"> </w:t>
      </w:r>
    </w:p>
    <w:p w14:paraId="0C5FE1E8" w14:textId="4F4449E1" w:rsidR="00351069" w:rsidRPr="00950FCF" w:rsidRDefault="00351069" w:rsidP="00351069">
      <w:pPr>
        <w:numPr>
          <w:ilvl w:val="0"/>
          <w:numId w:val="16"/>
        </w:numPr>
        <w:spacing w:after="160" w:line="276" w:lineRule="auto"/>
        <w:contextualSpacing/>
        <w:rPr>
          <w:rFonts w:eastAsiaTheme="minorHAnsi"/>
          <w:color w:val="3B3838" w:themeColor="background2" w:themeShade="40"/>
          <w:lang w:bidi="ar-SA"/>
        </w:rPr>
      </w:pPr>
      <w:r w:rsidRPr="00950FCF">
        <w:rPr>
          <w:rFonts w:eastAsiaTheme="minorHAnsi"/>
          <w:color w:val="3B3838" w:themeColor="background2" w:themeShade="40"/>
          <w:lang w:bidi="ar-SA"/>
        </w:rPr>
        <w:lastRenderedPageBreak/>
        <w:t>C</w:t>
      </w:r>
      <w:r w:rsidR="007D24CA" w:rsidRPr="00950FCF">
        <w:rPr>
          <w:rFonts w:eastAsiaTheme="minorHAnsi"/>
          <w:color w:val="3B3838" w:themeColor="background2" w:themeShade="40"/>
          <w:lang w:bidi="ar-SA"/>
        </w:rPr>
        <w:t xml:space="preserve">onfirm the TPA will </w:t>
      </w:r>
      <w:r w:rsidR="00755CC2" w:rsidRPr="00950FCF">
        <w:rPr>
          <w:rFonts w:eastAsiaTheme="minorHAnsi"/>
          <w:color w:val="3B3838" w:themeColor="background2" w:themeShade="40"/>
          <w:lang w:bidi="ar-SA"/>
        </w:rPr>
        <w:t>provide the web-based price comparison tool</w:t>
      </w:r>
      <w:r w:rsidR="008011D7">
        <w:rPr>
          <w:rFonts w:eastAsiaTheme="minorHAnsi"/>
          <w:color w:val="3B3838" w:themeColor="background2" w:themeShade="40"/>
          <w:lang w:bidi="ar-SA"/>
        </w:rPr>
        <w:t>, including estimates of cost-sharing for covered health care items and services from each provider,</w:t>
      </w:r>
      <w:r w:rsidR="00755CC2" w:rsidRPr="00950FCF">
        <w:rPr>
          <w:rFonts w:eastAsiaTheme="minorHAnsi"/>
          <w:color w:val="3B3838" w:themeColor="background2" w:themeShade="40"/>
          <w:lang w:bidi="ar-SA"/>
        </w:rPr>
        <w:t xml:space="preserve"> as well as making the information available by phone or on paper upon request</w:t>
      </w:r>
    </w:p>
    <w:p w14:paraId="0643E0FC" w14:textId="6B58DD46" w:rsidR="00755CC2" w:rsidRPr="00950FCF" w:rsidRDefault="00755CC2" w:rsidP="00950FCF">
      <w:pPr>
        <w:spacing w:line="276" w:lineRule="auto"/>
        <w:rPr>
          <w:rFonts w:eastAsia="Times New Roman"/>
          <w:color w:val="3B3838" w:themeColor="background2" w:themeShade="40"/>
          <w:lang w:bidi="ar-SA"/>
        </w:rPr>
      </w:pPr>
    </w:p>
    <w:p w14:paraId="4B2DC4C2" w14:textId="77777777" w:rsidR="00950FCF" w:rsidRPr="00950FCF" w:rsidRDefault="00950FCF" w:rsidP="00950FCF">
      <w:pPr>
        <w:spacing w:line="276" w:lineRule="auto"/>
        <w:rPr>
          <w:rFonts w:eastAsia="Times New Roman"/>
          <w:color w:val="3B3838" w:themeColor="background2" w:themeShade="40"/>
          <w:lang w:bidi="ar-SA"/>
        </w:rPr>
      </w:pPr>
    </w:p>
    <w:p w14:paraId="69BB4283" w14:textId="1DA751C2" w:rsidR="00351069" w:rsidRPr="00351069" w:rsidRDefault="00351069" w:rsidP="00351069">
      <w:pPr>
        <w:numPr>
          <w:ilvl w:val="0"/>
          <w:numId w:val="14"/>
        </w:numPr>
        <w:spacing w:after="160" w:line="276" w:lineRule="auto"/>
        <w:contextualSpacing/>
        <w:rPr>
          <w:rFonts w:eastAsiaTheme="minorHAnsi"/>
          <w:color w:val="3B3838" w:themeColor="background2" w:themeShade="40"/>
          <w:sz w:val="22"/>
          <w:szCs w:val="22"/>
          <w:lang w:bidi="ar-SA"/>
        </w:rPr>
      </w:pPr>
      <w:r w:rsidRPr="00351069">
        <w:rPr>
          <w:rFonts w:eastAsiaTheme="minorHAnsi"/>
          <w:b/>
          <w:bCs/>
          <w:color w:val="3B3838" w:themeColor="background2" w:themeShade="40"/>
          <w:sz w:val="22"/>
          <w:szCs w:val="22"/>
          <w:lang w:bidi="ar-SA"/>
        </w:rPr>
        <w:t xml:space="preserve">TiC Final Rules: Advanced EOB – </w:t>
      </w:r>
      <w:r w:rsidR="003E02EE">
        <w:rPr>
          <w:rFonts w:eastAsiaTheme="minorHAnsi"/>
          <w:i/>
          <w:iCs/>
          <w:color w:val="000000" w:themeColor="text1"/>
          <w:sz w:val="22"/>
          <w:szCs w:val="22"/>
          <w:lang w:bidi="ar-SA"/>
        </w:rPr>
        <w:t>Delayed indefinitely</w:t>
      </w:r>
    </w:p>
    <w:p w14:paraId="4FF39160" w14:textId="22DD664F" w:rsidR="00351069" w:rsidRPr="00351069" w:rsidRDefault="003E02EE" w:rsidP="00351069">
      <w:pPr>
        <w:spacing w:after="160" w:line="276" w:lineRule="auto"/>
        <w:rPr>
          <w:rFonts w:eastAsiaTheme="minorHAnsi"/>
          <w:color w:val="3B3838" w:themeColor="background2" w:themeShade="40"/>
          <w:lang w:bidi="ar-SA"/>
        </w:rPr>
      </w:pPr>
      <w:r>
        <w:rPr>
          <w:rFonts w:eastAsiaTheme="minorHAnsi"/>
          <w:color w:val="3B3838" w:themeColor="background2" w:themeShade="40"/>
          <w:lang w:bidi="ar-SA"/>
        </w:rPr>
        <w:t>Plans must provide</w:t>
      </w:r>
      <w:r w:rsidR="00351069" w:rsidRPr="00351069">
        <w:rPr>
          <w:rFonts w:eastAsiaTheme="minorHAnsi"/>
          <w:color w:val="3B3838" w:themeColor="background2" w:themeShade="40"/>
          <w:lang w:bidi="ar-SA"/>
        </w:rPr>
        <w:t xml:space="preserve"> </w:t>
      </w:r>
      <w:r>
        <w:rPr>
          <w:rFonts w:eastAsiaTheme="minorHAnsi"/>
          <w:color w:val="3B3838" w:themeColor="background2" w:themeShade="40"/>
          <w:lang w:bidi="ar-SA"/>
        </w:rPr>
        <w:t>an</w:t>
      </w:r>
      <w:r w:rsidR="00351069" w:rsidRPr="00351069">
        <w:rPr>
          <w:rFonts w:eastAsiaTheme="minorHAnsi"/>
          <w:color w:val="3B3838" w:themeColor="background2" w:themeShade="40"/>
          <w:lang w:bidi="ar-SA"/>
        </w:rPr>
        <w:t xml:space="preserve"> advanced notification of a good faith estimate of expected charges to participants.</w:t>
      </w:r>
    </w:p>
    <w:p w14:paraId="4964D99A" w14:textId="35E229E8" w:rsidR="00351069" w:rsidRDefault="00351069" w:rsidP="00351069">
      <w:pPr>
        <w:spacing w:after="160" w:line="276" w:lineRule="auto"/>
        <w:rPr>
          <w:rFonts w:eastAsiaTheme="minorHAnsi"/>
          <w:color w:val="3B3838" w:themeColor="background2" w:themeShade="40"/>
          <w:sz w:val="22"/>
          <w:szCs w:val="22"/>
          <w:lang w:bidi="ar-SA"/>
        </w:rPr>
      </w:pPr>
    </w:p>
    <w:p w14:paraId="406E848B" w14:textId="77777777" w:rsidR="00950FCF" w:rsidRPr="00351069" w:rsidRDefault="00950FCF" w:rsidP="00351069">
      <w:pPr>
        <w:spacing w:after="160" w:line="276" w:lineRule="auto"/>
        <w:rPr>
          <w:rFonts w:eastAsiaTheme="minorHAnsi"/>
          <w:color w:val="3B3838" w:themeColor="background2" w:themeShade="40"/>
          <w:sz w:val="22"/>
          <w:szCs w:val="22"/>
          <w:lang w:bidi="ar-SA"/>
        </w:rPr>
      </w:pPr>
    </w:p>
    <w:p w14:paraId="5AF18012" w14:textId="78761D70" w:rsidR="0027646A" w:rsidRPr="00C754E4" w:rsidRDefault="0027646A" w:rsidP="00321324">
      <w:pPr>
        <w:rPr>
          <w:rFonts w:asciiTheme="minorHAnsi" w:hAnsiTheme="minorHAnsi" w:cstheme="minorHAnsi"/>
          <w:sz w:val="22"/>
          <w:szCs w:val="22"/>
        </w:rPr>
      </w:pPr>
    </w:p>
    <w:p w14:paraId="7CEE908C" w14:textId="571B011D" w:rsidR="00B90582" w:rsidRPr="00C754E4" w:rsidRDefault="00321324" w:rsidP="00A57B4F">
      <w:pPr>
        <w:pStyle w:val="MediumGrid2-Accent11"/>
        <w:rPr>
          <w:rFonts w:asciiTheme="minorHAnsi" w:hAnsiTheme="minorHAnsi" w:cstheme="minorHAnsi"/>
          <w:i/>
          <w:sz w:val="22"/>
          <w:szCs w:val="22"/>
        </w:rPr>
      </w:pPr>
      <w:bookmarkStart w:id="5" w:name="_Hlk67641261"/>
      <w:r w:rsidRPr="00C754E4">
        <w:rPr>
          <w:rFonts w:asciiTheme="minorHAnsi" w:hAnsiTheme="minorHAnsi" w:cstheme="minorHAnsi"/>
          <w:i/>
          <w:sz w:val="22"/>
          <w:szCs w:val="22"/>
        </w:rPr>
        <w:t>While every effort has been taken in compiling this information to ensure that its contents are totally accurate, neither the publisher nor the author can accept liability for any inaccuracies or changed circumstances of any information herein or for the consequences of any reliance placed upon it. This publication is distributed on the understanding that the publisher is not engaged in rendering legal, accounting or other professional advice or services. Readers should always seek professional advice before entering into any commitments.</w:t>
      </w:r>
      <w:bookmarkEnd w:id="5"/>
    </w:p>
    <w:sectPr w:rsidR="00B90582" w:rsidRPr="00C754E4" w:rsidSect="00D20E25">
      <w:footerReference w:type="default" r:id="rId12"/>
      <w:footerReference w:type="first" r:id="rId13"/>
      <w:pgSz w:w="12240" w:h="15840" w:code="1"/>
      <w:pgMar w:top="1440" w:right="1080" w:bottom="1440" w:left="1080" w:header="965" w:footer="86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8CF10" w14:textId="77777777" w:rsidR="00A464C2" w:rsidRDefault="00A464C2">
      <w:r>
        <w:separator/>
      </w:r>
    </w:p>
  </w:endnote>
  <w:endnote w:type="continuationSeparator" w:id="0">
    <w:p w14:paraId="7F099FC0" w14:textId="77777777" w:rsidR="00A464C2" w:rsidRDefault="00A46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E1505" w14:textId="77777777" w:rsidR="005C07B5" w:rsidRDefault="00000000" w:rsidP="00D20E25">
    <w:pPr>
      <w:pStyle w:val="Footer"/>
      <w:jc w:val="center"/>
    </w:pPr>
  </w:p>
  <w:p w14:paraId="12595C9A" w14:textId="0644DA09" w:rsidR="005C07B5" w:rsidRDefault="00D96EA7" w:rsidP="00D20E25">
    <w:pPr>
      <w:pStyle w:val="Footer"/>
      <w:jc w:val="center"/>
      <w:rPr>
        <w:lang w:val="en-US"/>
      </w:rPr>
    </w:pPr>
    <w:r w:rsidRPr="006C7EC1">
      <w:t>© 20</w:t>
    </w:r>
    <w:r>
      <w:rPr>
        <w:lang w:val="en-US"/>
      </w:rPr>
      <w:t>2</w:t>
    </w:r>
    <w:r w:rsidR="00707678">
      <w:rPr>
        <w:lang w:val="en-US"/>
      </w:rPr>
      <w:t>3</w:t>
    </w:r>
    <w:r w:rsidRPr="006C7EC1">
      <w:t xml:space="preserve"> </w:t>
    </w:r>
    <w:r>
      <w:t>Benefit Comply, LLC</w:t>
    </w:r>
  </w:p>
  <w:p w14:paraId="0942361F" w14:textId="77777777" w:rsidR="005C07B5" w:rsidRDefault="00D96EA7" w:rsidP="00D20E25">
    <w:pPr>
      <w:pStyle w:val="Footer"/>
      <w:jc w:val="center"/>
    </w:pPr>
    <w:r w:rsidRPr="00866B99">
      <w:fldChar w:fldCharType="begin"/>
    </w:r>
    <w:r w:rsidRPr="00866B99">
      <w:instrText xml:space="preserve"> PAGE   \* MERGEFORMAT </w:instrText>
    </w:r>
    <w:r w:rsidRPr="00866B99">
      <w:fldChar w:fldCharType="separate"/>
    </w:r>
    <w:r>
      <w:rPr>
        <w:noProof/>
      </w:rPr>
      <w:t>2</w:t>
    </w:r>
    <w:r w:rsidRPr="00866B99">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08CBB" w14:textId="1A6D41E5" w:rsidR="005C07B5" w:rsidRDefault="00D96EA7" w:rsidP="00D20E25">
    <w:pPr>
      <w:pStyle w:val="Footer"/>
      <w:jc w:val="center"/>
      <w:rPr>
        <w:lang w:val="en-US"/>
      </w:rPr>
    </w:pPr>
    <w:r>
      <w:t>© 20</w:t>
    </w:r>
    <w:r>
      <w:rPr>
        <w:lang w:val="en-US"/>
      </w:rPr>
      <w:t>2</w:t>
    </w:r>
    <w:r w:rsidR="00707678">
      <w:rPr>
        <w:lang w:val="en-US"/>
      </w:rPr>
      <w:t>3</w:t>
    </w:r>
    <w:r w:rsidRPr="006C7EC1">
      <w:t xml:space="preserve"> </w:t>
    </w:r>
    <w:r>
      <w:t>Benefit Comply, LLC</w:t>
    </w:r>
  </w:p>
  <w:p w14:paraId="2563E403" w14:textId="77777777" w:rsidR="005C07B5" w:rsidRPr="00866B99" w:rsidRDefault="00D96EA7" w:rsidP="00D20E25">
    <w:pPr>
      <w:pStyle w:val="Footer"/>
      <w:jc w:val="center"/>
    </w:pPr>
    <w:r w:rsidRPr="00866B99">
      <w:fldChar w:fldCharType="begin"/>
    </w:r>
    <w:r w:rsidRPr="00866B99">
      <w:instrText xml:space="preserve"> PAGE   \* MERGEFORMAT </w:instrText>
    </w:r>
    <w:r w:rsidRPr="00866B99">
      <w:fldChar w:fldCharType="separate"/>
    </w:r>
    <w:r>
      <w:rPr>
        <w:noProof/>
      </w:rPr>
      <w:t>1</w:t>
    </w:r>
    <w:r w:rsidRPr="00866B99">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66E23" w14:textId="77777777" w:rsidR="00A464C2" w:rsidRDefault="00A464C2">
      <w:r>
        <w:separator/>
      </w:r>
    </w:p>
  </w:footnote>
  <w:footnote w:type="continuationSeparator" w:id="0">
    <w:p w14:paraId="1156470F" w14:textId="77777777" w:rsidR="00A464C2" w:rsidRDefault="00A464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25B8D"/>
    <w:multiLevelType w:val="hybridMultilevel"/>
    <w:tmpl w:val="CFDCBB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5C20BE2"/>
    <w:multiLevelType w:val="multilevel"/>
    <w:tmpl w:val="3B7C8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126B44"/>
    <w:multiLevelType w:val="multilevel"/>
    <w:tmpl w:val="6F301086"/>
    <w:lvl w:ilvl="0">
      <w:start w:val="1"/>
      <w:numFmt w:val="bullet"/>
      <w:lvlText w:val=""/>
      <w:lvlJc w:val="left"/>
      <w:pPr>
        <w:ind w:left="1080" w:hanging="360"/>
      </w:pPr>
      <w:rPr>
        <w:rFonts w:ascii="Wingdings" w:hAnsi="Wingdings" w:hint="default"/>
        <w:b/>
        <w:bCs/>
        <w:color w:val="auto"/>
        <w:sz w:val="28"/>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bullet"/>
      <w:lvlText w:val="o"/>
      <w:lvlJc w:val="left"/>
      <w:pPr>
        <w:ind w:left="2160" w:hanging="360"/>
      </w:pPr>
      <w:rPr>
        <w:rFonts w:ascii="Courier New" w:hAnsi="Courier New" w:cs="Courier New" w:hint="default"/>
      </w:r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 w15:restartNumberingAfterBreak="0">
    <w:nsid w:val="0C542398"/>
    <w:multiLevelType w:val="multilevel"/>
    <w:tmpl w:val="6B9A7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5D3B90"/>
    <w:multiLevelType w:val="hybridMultilevel"/>
    <w:tmpl w:val="E7CADB92"/>
    <w:lvl w:ilvl="0" w:tplc="998C1CF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7A4032"/>
    <w:multiLevelType w:val="multilevel"/>
    <w:tmpl w:val="1862DC88"/>
    <w:lvl w:ilvl="0">
      <w:start w:val="1"/>
      <w:numFmt w:val="bullet"/>
      <w:lvlText w:val=""/>
      <w:lvlJc w:val="left"/>
      <w:pPr>
        <w:ind w:left="1080" w:hanging="360"/>
      </w:pPr>
      <w:rPr>
        <w:rFonts w:ascii="Wingdings" w:hAnsi="Wingdings" w:hint="default"/>
        <w:b/>
        <w:bCs/>
        <w:color w:val="auto"/>
        <w:sz w:val="28"/>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bullet"/>
      <w:lvlText w:val="o"/>
      <w:lvlJc w:val="left"/>
      <w:pPr>
        <w:ind w:left="2160" w:hanging="360"/>
      </w:pPr>
      <w:rPr>
        <w:rFonts w:ascii="Courier New" w:hAnsi="Courier New" w:cs="Courier New" w:hint="default"/>
      </w:r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6" w15:restartNumberingAfterBreak="0">
    <w:nsid w:val="2E454255"/>
    <w:multiLevelType w:val="hybridMultilevel"/>
    <w:tmpl w:val="E33E3D3C"/>
    <w:lvl w:ilvl="0" w:tplc="5B1E19BC">
      <w:start w:val="1"/>
      <w:numFmt w:val="bullet"/>
      <w:lvlText w:val=""/>
      <w:lvlJc w:val="left"/>
      <w:pPr>
        <w:ind w:left="720" w:hanging="360"/>
      </w:pPr>
      <w:rPr>
        <w:rFonts w:ascii="Wingdings" w:hAnsi="Wingdings" w:hint="default"/>
        <w:sz w:val="28"/>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35177A11"/>
    <w:multiLevelType w:val="multilevel"/>
    <w:tmpl w:val="7BE68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594426"/>
    <w:multiLevelType w:val="hybridMultilevel"/>
    <w:tmpl w:val="4F92E642"/>
    <w:lvl w:ilvl="0" w:tplc="5B1E19BC">
      <w:start w:val="1"/>
      <w:numFmt w:val="bullet"/>
      <w:lvlText w:val=""/>
      <w:lvlJc w:val="left"/>
      <w:pPr>
        <w:ind w:left="720" w:hanging="360"/>
      </w:pPr>
      <w:rPr>
        <w:rFonts w:ascii="Wingdings" w:hAnsi="Wingdings" w:hint="default"/>
        <w:sz w:val="28"/>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3CE54EBF"/>
    <w:multiLevelType w:val="multilevel"/>
    <w:tmpl w:val="C6E6E6C8"/>
    <w:lvl w:ilvl="0">
      <w:start w:val="1"/>
      <w:numFmt w:val="bullet"/>
      <w:lvlText w:val=""/>
      <w:lvlJc w:val="left"/>
      <w:pPr>
        <w:ind w:left="1080" w:hanging="360"/>
      </w:pPr>
      <w:rPr>
        <w:rFonts w:ascii="Wingdings" w:hAnsi="Wingdings" w:hint="default"/>
        <w:b/>
        <w:bCs/>
        <w:color w:val="auto"/>
        <w:sz w:val="28"/>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bullet"/>
      <w:lvlText w:val="o"/>
      <w:lvlJc w:val="left"/>
      <w:pPr>
        <w:ind w:left="2160" w:hanging="360"/>
      </w:pPr>
      <w:rPr>
        <w:rFonts w:ascii="Courier New" w:hAnsi="Courier New" w:cs="Courier New" w:hint="default"/>
      </w:r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0" w15:restartNumberingAfterBreak="0">
    <w:nsid w:val="412144B4"/>
    <w:multiLevelType w:val="hybridMultilevel"/>
    <w:tmpl w:val="B5AC1E94"/>
    <w:lvl w:ilvl="0" w:tplc="5B1E19BC">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4159F9"/>
    <w:multiLevelType w:val="multilevel"/>
    <w:tmpl w:val="C646D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E204A4"/>
    <w:multiLevelType w:val="hybridMultilevel"/>
    <w:tmpl w:val="509496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1D04FCB"/>
    <w:multiLevelType w:val="hybridMultilevel"/>
    <w:tmpl w:val="92CC3E6A"/>
    <w:lvl w:ilvl="0" w:tplc="9DF2D30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24371F"/>
    <w:multiLevelType w:val="hybridMultilevel"/>
    <w:tmpl w:val="9D984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BB3437"/>
    <w:multiLevelType w:val="multilevel"/>
    <w:tmpl w:val="ECCE457A"/>
    <w:lvl w:ilvl="0">
      <w:start w:val="1"/>
      <w:numFmt w:val="decimal"/>
      <w:lvlText w:val="%1)"/>
      <w:lvlJc w:val="left"/>
      <w:pPr>
        <w:ind w:left="360" w:hanging="360"/>
      </w:pPr>
      <w:rPr>
        <w:b/>
        <w:bCs/>
        <w:color w:val="auto"/>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bullet"/>
      <w:lvlText w:val="o"/>
      <w:lvlJc w:val="left"/>
      <w:pPr>
        <w:ind w:left="1440" w:hanging="360"/>
      </w:pPr>
      <w:rPr>
        <w:rFonts w:ascii="Courier New" w:hAnsi="Courier New" w:cs="Courier New"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AEE1E7C"/>
    <w:multiLevelType w:val="hybridMultilevel"/>
    <w:tmpl w:val="27F8BE6C"/>
    <w:lvl w:ilvl="0" w:tplc="DA6AC6B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796907"/>
    <w:multiLevelType w:val="hybridMultilevel"/>
    <w:tmpl w:val="92C8A538"/>
    <w:lvl w:ilvl="0" w:tplc="50EE32B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6D5AD7"/>
    <w:multiLevelType w:val="hybridMultilevel"/>
    <w:tmpl w:val="AA0295E4"/>
    <w:lvl w:ilvl="0" w:tplc="81D656C2">
      <w:numFmt w:val="bullet"/>
      <w:lvlText w:val=""/>
      <w:lvlJc w:val="left"/>
      <w:pPr>
        <w:ind w:left="720" w:hanging="360"/>
      </w:pPr>
      <w:rPr>
        <w:rFonts w:ascii="Symbol" w:eastAsia="Calibr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AE1D7E"/>
    <w:multiLevelType w:val="multilevel"/>
    <w:tmpl w:val="4DAC5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A8C15F1"/>
    <w:multiLevelType w:val="multilevel"/>
    <w:tmpl w:val="CB56194C"/>
    <w:lvl w:ilvl="0">
      <w:start w:val="1"/>
      <w:numFmt w:val="decimal"/>
      <w:lvlText w:val="%1)"/>
      <w:lvlJc w:val="left"/>
      <w:pPr>
        <w:ind w:left="360" w:hanging="360"/>
      </w:pPr>
      <w:rPr>
        <w:b/>
        <w:bCs/>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bullet"/>
      <w:lvlText w:val="o"/>
      <w:lvlJc w:val="left"/>
      <w:pPr>
        <w:ind w:left="1440" w:hanging="360"/>
      </w:pPr>
      <w:rPr>
        <w:rFonts w:ascii="Courier New" w:hAnsi="Courier New" w:cs="Courier New"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DAB6472"/>
    <w:multiLevelType w:val="hybridMultilevel"/>
    <w:tmpl w:val="D9D0A8EC"/>
    <w:lvl w:ilvl="0" w:tplc="04B4E94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42576187">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82099532">
    <w:abstractNumId w:val="16"/>
  </w:num>
  <w:num w:numId="3" w16cid:durableId="1064794731">
    <w:abstractNumId w:val="4"/>
  </w:num>
  <w:num w:numId="4" w16cid:durableId="1368412834">
    <w:abstractNumId w:val="0"/>
  </w:num>
  <w:num w:numId="5" w16cid:durableId="1307584636">
    <w:abstractNumId w:val="21"/>
  </w:num>
  <w:num w:numId="6" w16cid:durableId="1372651545">
    <w:abstractNumId w:val="17"/>
  </w:num>
  <w:num w:numId="7" w16cid:durableId="207315">
    <w:abstractNumId w:val="18"/>
  </w:num>
  <w:num w:numId="8" w16cid:durableId="1628849525">
    <w:abstractNumId w:val="13"/>
  </w:num>
  <w:num w:numId="9" w16cid:durableId="954410303">
    <w:abstractNumId w:val="1"/>
  </w:num>
  <w:num w:numId="10" w16cid:durableId="541796145">
    <w:abstractNumId w:val="3"/>
  </w:num>
  <w:num w:numId="11" w16cid:durableId="1378385656">
    <w:abstractNumId w:val="19"/>
  </w:num>
  <w:num w:numId="12" w16cid:durableId="380639590">
    <w:abstractNumId w:val="7"/>
  </w:num>
  <w:num w:numId="13" w16cid:durableId="856700663">
    <w:abstractNumId w:val="11"/>
  </w:num>
  <w:num w:numId="14" w16cid:durableId="1659730067">
    <w:abstractNumId w:val="15"/>
  </w:num>
  <w:num w:numId="15" w16cid:durableId="1929076474">
    <w:abstractNumId w:val="10"/>
  </w:num>
  <w:num w:numId="16" w16cid:durableId="1662811002">
    <w:abstractNumId w:val="6"/>
  </w:num>
  <w:num w:numId="17" w16cid:durableId="1328048957">
    <w:abstractNumId w:val="8"/>
  </w:num>
  <w:num w:numId="18" w16cid:durableId="1160460819">
    <w:abstractNumId w:val="12"/>
  </w:num>
  <w:num w:numId="19" w16cid:durableId="1959870797">
    <w:abstractNumId w:val="20"/>
  </w:num>
  <w:num w:numId="20" w16cid:durableId="941108512">
    <w:abstractNumId w:val="9"/>
  </w:num>
  <w:num w:numId="21" w16cid:durableId="70347603">
    <w:abstractNumId w:val="5"/>
  </w:num>
  <w:num w:numId="22" w16cid:durableId="1402823254">
    <w:abstractNumId w:val="2"/>
  </w:num>
  <w:num w:numId="23" w16cid:durableId="90206440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324"/>
    <w:rsid w:val="00002AD1"/>
    <w:rsid w:val="000056D1"/>
    <w:rsid w:val="00005973"/>
    <w:rsid w:val="00014849"/>
    <w:rsid w:val="00022815"/>
    <w:rsid w:val="00034FF6"/>
    <w:rsid w:val="00035DDE"/>
    <w:rsid w:val="00035F15"/>
    <w:rsid w:val="00043BD0"/>
    <w:rsid w:val="000649F3"/>
    <w:rsid w:val="00064BE0"/>
    <w:rsid w:val="00072C7E"/>
    <w:rsid w:val="00075EAF"/>
    <w:rsid w:val="00095F3C"/>
    <w:rsid w:val="000B40DD"/>
    <w:rsid w:val="000B7D90"/>
    <w:rsid w:val="000C507A"/>
    <w:rsid w:val="000D4CED"/>
    <w:rsid w:val="000F64E9"/>
    <w:rsid w:val="0010232C"/>
    <w:rsid w:val="00104B76"/>
    <w:rsid w:val="00115686"/>
    <w:rsid w:val="00116B83"/>
    <w:rsid w:val="00117E2C"/>
    <w:rsid w:val="001218E1"/>
    <w:rsid w:val="00121E52"/>
    <w:rsid w:val="00142442"/>
    <w:rsid w:val="001443CC"/>
    <w:rsid w:val="001450BA"/>
    <w:rsid w:val="001473AE"/>
    <w:rsid w:val="00152063"/>
    <w:rsid w:val="0016433D"/>
    <w:rsid w:val="001728F4"/>
    <w:rsid w:val="00172C1E"/>
    <w:rsid w:val="001776E3"/>
    <w:rsid w:val="00194150"/>
    <w:rsid w:val="001A1D73"/>
    <w:rsid w:val="001A367B"/>
    <w:rsid w:val="001A407B"/>
    <w:rsid w:val="001A4A16"/>
    <w:rsid w:val="001B4492"/>
    <w:rsid w:val="001B4B1E"/>
    <w:rsid w:val="001C05FE"/>
    <w:rsid w:val="001C1DBF"/>
    <w:rsid w:val="001D401D"/>
    <w:rsid w:val="001F2728"/>
    <w:rsid w:val="001F3D78"/>
    <w:rsid w:val="0020143F"/>
    <w:rsid w:val="00205E6D"/>
    <w:rsid w:val="00205F1A"/>
    <w:rsid w:val="00211FD9"/>
    <w:rsid w:val="00213249"/>
    <w:rsid w:val="00216671"/>
    <w:rsid w:val="00220841"/>
    <w:rsid w:val="0023278E"/>
    <w:rsid w:val="002370A4"/>
    <w:rsid w:val="002462FD"/>
    <w:rsid w:val="00255059"/>
    <w:rsid w:val="0025654D"/>
    <w:rsid w:val="00270B38"/>
    <w:rsid w:val="00271009"/>
    <w:rsid w:val="0027646A"/>
    <w:rsid w:val="002966BB"/>
    <w:rsid w:val="00296802"/>
    <w:rsid w:val="002A0E66"/>
    <w:rsid w:val="002A2E9A"/>
    <w:rsid w:val="002B133B"/>
    <w:rsid w:val="002B16BC"/>
    <w:rsid w:val="002B1705"/>
    <w:rsid w:val="002C148F"/>
    <w:rsid w:val="002C2028"/>
    <w:rsid w:val="002C517E"/>
    <w:rsid w:val="002C7EFF"/>
    <w:rsid w:val="002D5EDF"/>
    <w:rsid w:val="002E1EF1"/>
    <w:rsid w:val="002E59C2"/>
    <w:rsid w:val="00311FA2"/>
    <w:rsid w:val="00321324"/>
    <w:rsid w:val="00325916"/>
    <w:rsid w:val="0033116E"/>
    <w:rsid w:val="00351069"/>
    <w:rsid w:val="00354C97"/>
    <w:rsid w:val="003648CE"/>
    <w:rsid w:val="0039308A"/>
    <w:rsid w:val="003A5D16"/>
    <w:rsid w:val="003B0553"/>
    <w:rsid w:val="003B5648"/>
    <w:rsid w:val="003C0EA0"/>
    <w:rsid w:val="003C2772"/>
    <w:rsid w:val="003E02EE"/>
    <w:rsid w:val="003F7D5E"/>
    <w:rsid w:val="004072DF"/>
    <w:rsid w:val="00420494"/>
    <w:rsid w:val="00423B0D"/>
    <w:rsid w:val="004379C2"/>
    <w:rsid w:val="0045052A"/>
    <w:rsid w:val="00456422"/>
    <w:rsid w:val="004707DF"/>
    <w:rsid w:val="004747AE"/>
    <w:rsid w:val="004765AB"/>
    <w:rsid w:val="00482E4B"/>
    <w:rsid w:val="004912E2"/>
    <w:rsid w:val="004A5BCB"/>
    <w:rsid w:val="004A684D"/>
    <w:rsid w:val="004B053B"/>
    <w:rsid w:val="004B551C"/>
    <w:rsid w:val="004C0F12"/>
    <w:rsid w:val="004F2778"/>
    <w:rsid w:val="004F2CCB"/>
    <w:rsid w:val="00504927"/>
    <w:rsid w:val="00507083"/>
    <w:rsid w:val="00507E58"/>
    <w:rsid w:val="00510BB2"/>
    <w:rsid w:val="0051387E"/>
    <w:rsid w:val="005320FC"/>
    <w:rsid w:val="00542BB5"/>
    <w:rsid w:val="005445AF"/>
    <w:rsid w:val="00545DAF"/>
    <w:rsid w:val="005520E6"/>
    <w:rsid w:val="00562265"/>
    <w:rsid w:val="00575372"/>
    <w:rsid w:val="005825B0"/>
    <w:rsid w:val="005840FC"/>
    <w:rsid w:val="005B6928"/>
    <w:rsid w:val="005C1B54"/>
    <w:rsid w:val="005D7415"/>
    <w:rsid w:val="005E2AEC"/>
    <w:rsid w:val="0060062F"/>
    <w:rsid w:val="00600C53"/>
    <w:rsid w:val="00615758"/>
    <w:rsid w:val="00624804"/>
    <w:rsid w:val="00635AF0"/>
    <w:rsid w:val="0063655F"/>
    <w:rsid w:val="00636E0C"/>
    <w:rsid w:val="006402E4"/>
    <w:rsid w:val="006439AF"/>
    <w:rsid w:val="006520E0"/>
    <w:rsid w:val="00664CD0"/>
    <w:rsid w:val="0067296A"/>
    <w:rsid w:val="0067740E"/>
    <w:rsid w:val="006935E3"/>
    <w:rsid w:val="00695D2F"/>
    <w:rsid w:val="00696CE6"/>
    <w:rsid w:val="00696D68"/>
    <w:rsid w:val="006A54D2"/>
    <w:rsid w:val="006B485B"/>
    <w:rsid w:val="006C6FDE"/>
    <w:rsid w:val="006D21A5"/>
    <w:rsid w:val="006E1848"/>
    <w:rsid w:val="006E586D"/>
    <w:rsid w:val="006F3AB9"/>
    <w:rsid w:val="006F5072"/>
    <w:rsid w:val="006F635F"/>
    <w:rsid w:val="006F6993"/>
    <w:rsid w:val="006F6E49"/>
    <w:rsid w:val="006F7893"/>
    <w:rsid w:val="007071C6"/>
    <w:rsid w:val="00707678"/>
    <w:rsid w:val="00710C14"/>
    <w:rsid w:val="0071231F"/>
    <w:rsid w:val="00717AF5"/>
    <w:rsid w:val="00717C72"/>
    <w:rsid w:val="00730A7A"/>
    <w:rsid w:val="007360C5"/>
    <w:rsid w:val="00742175"/>
    <w:rsid w:val="00754B61"/>
    <w:rsid w:val="00755CC2"/>
    <w:rsid w:val="0075712A"/>
    <w:rsid w:val="00764C62"/>
    <w:rsid w:val="007730AF"/>
    <w:rsid w:val="00774ABD"/>
    <w:rsid w:val="007878AA"/>
    <w:rsid w:val="007901C2"/>
    <w:rsid w:val="007A1E70"/>
    <w:rsid w:val="007B6AF9"/>
    <w:rsid w:val="007C4BB5"/>
    <w:rsid w:val="007D24CA"/>
    <w:rsid w:val="007F3213"/>
    <w:rsid w:val="007F7763"/>
    <w:rsid w:val="00800AB8"/>
    <w:rsid w:val="008011D7"/>
    <w:rsid w:val="0080124C"/>
    <w:rsid w:val="0081742F"/>
    <w:rsid w:val="00835EDA"/>
    <w:rsid w:val="00845F44"/>
    <w:rsid w:val="00855996"/>
    <w:rsid w:val="00860DAB"/>
    <w:rsid w:val="00862C3C"/>
    <w:rsid w:val="00893105"/>
    <w:rsid w:val="008946C5"/>
    <w:rsid w:val="00896D97"/>
    <w:rsid w:val="008A5CAC"/>
    <w:rsid w:val="008B5C1A"/>
    <w:rsid w:val="008B721F"/>
    <w:rsid w:val="008C09D8"/>
    <w:rsid w:val="008D1447"/>
    <w:rsid w:val="008F1672"/>
    <w:rsid w:val="008F55C4"/>
    <w:rsid w:val="00901BA6"/>
    <w:rsid w:val="00901D59"/>
    <w:rsid w:val="00905C1C"/>
    <w:rsid w:val="00911C36"/>
    <w:rsid w:val="009124C5"/>
    <w:rsid w:val="009137A4"/>
    <w:rsid w:val="00921F60"/>
    <w:rsid w:val="00923792"/>
    <w:rsid w:val="0093001C"/>
    <w:rsid w:val="009302E0"/>
    <w:rsid w:val="00950FCF"/>
    <w:rsid w:val="009519C5"/>
    <w:rsid w:val="00961AF9"/>
    <w:rsid w:val="00972C99"/>
    <w:rsid w:val="00980B47"/>
    <w:rsid w:val="0098357D"/>
    <w:rsid w:val="00986448"/>
    <w:rsid w:val="0099394D"/>
    <w:rsid w:val="00997241"/>
    <w:rsid w:val="009D0A9D"/>
    <w:rsid w:val="009E6856"/>
    <w:rsid w:val="009F0C34"/>
    <w:rsid w:val="00A055AA"/>
    <w:rsid w:val="00A11F86"/>
    <w:rsid w:val="00A27030"/>
    <w:rsid w:val="00A31790"/>
    <w:rsid w:val="00A464C2"/>
    <w:rsid w:val="00A54751"/>
    <w:rsid w:val="00A57B4F"/>
    <w:rsid w:val="00A674C7"/>
    <w:rsid w:val="00A90F69"/>
    <w:rsid w:val="00A92234"/>
    <w:rsid w:val="00A934CB"/>
    <w:rsid w:val="00A94F71"/>
    <w:rsid w:val="00AC0ED1"/>
    <w:rsid w:val="00AC0F74"/>
    <w:rsid w:val="00AC70EC"/>
    <w:rsid w:val="00AD6E8D"/>
    <w:rsid w:val="00AE4296"/>
    <w:rsid w:val="00AE60D0"/>
    <w:rsid w:val="00AE6511"/>
    <w:rsid w:val="00AF0D72"/>
    <w:rsid w:val="00AF18A8"/>
    <w:rsid w:val="00AF42D8"/>
    <w:rsid w:val="00AF42F2"/>
    <w:rsid w:val="00AF4C61"/>
    <w:rsid w:val="00B4157B"/>
    <w:rsid w:val="00B41B26"/>
    <w:rsid w:val="00B67AA9"/>
    <w:rsid w:val="00B719DB"/>
    <w:rsid w:val="00B72467"/>
    <w:rsid w:val="00B81E64"/>
    <w:rsid w:val="00B87DD9"/>
    <w:rsid w:val="00B90582"/>
    <w:rsid w:val="00B91A11"/>
    <w:rsid w:val="00BB0291"/>
    <w:rsid w:val="00BB1802"/>
    <w:rsid w:val="00BC0F74"/>
    <w:rsid w:val="00BD0685"/>
    <w:rsid w:val="00BE30C2"/>
    <w:rsid w:val="00BF39A0"/>
    <w:rsid w:val="00BF7E70"/>
    <w:rsid w:val="00C02794"/>
    <w:rsid w:val="00C223BA"/>
    <w:rsid w:val="00C24BFC"/>
    <w:rsid w:val="00C34F19"/>
    <w:rsid w:val="00C41E2E"/>
    <w:rsid w:val="00C43FAE"/>
    <w:rsid w:val="00C52732"/>
    <w:rsid w:val="00C6061C"/>
    <w:rsid w:val="00C6431D"/>
    <w:rsid w:val="00C66C3B"/>
    <w:rsid w:val="00C67721"/>
    <w:rsid w:val="00C73D24"/>
    <w:rsid w:val="00C7463B"/>
    <w:rsid w:val="00C754E4"/>
    <w:rsid w:val="00C7678F"/>
    <w:rsid w:val="00C845E5"/>
    <w:rsid w:val="00C90091"/>
    <w:rsid w:val="00C92056"/>
    <w:rsid w:val="00C97C0A"/>
    <w:rsid w:val="00CB5F51"/>
    <w:rsid w:val="00CB7CB3"/>
    <w:rsid w:val="00CD72C4"/>
    <w:rsid w:val="00CF13A4"/>
    <w:rsid w:val="00CF61E7"/>
    <w:rsid w:val="00CF758A"/>
    <w:rsid w:val="00D04A1D"/>
    <w:rsid w:val="00D10B5C"/>
    <w:rsid w:val="00D237D2"/>
    <w:rsid w:val="00D42D03"/>
    <w:rsid w:val="00D45797"/>
    <w:rsid w:val="00D56973"/>
    <w:rsid w:val="00D602B9"/>
    <w:rsid w:val="00D642CC"/>
    <w:rsid w:val="00D67CEA"/>
    <w:rsid w:val="00D72602"/>
    <w:rsid w:val="00D760FC"/>
    <w:rsid w:val="00D85D7C"/>
    <w:rsid w:val="00D9435E"/>
    <w:rsid w:val="00D96EA7"/>
    <w:rsid w:val="00D97725"/>
    <w:rsid w:val="00DA5C02"/>
    <w:rsid w:val="00DC0A86"/>
    <w:rsid w:val="00DD5DAD"/>
    <w:rsid w:val="00DF51E6"/>
    <w:rsid w:val="00E0010B"/>
    <w:rsid w:val="00E03D92"/>
    <w:rsid w:val="00E05C25"/>
    <w:rsid w:val="00E17671"/>
    <w:rsid w:val="00E2486A"/>
    <w:rsid w:val="00E24CED"/>
    <w:rsid w:val="00E3231D"/>
    <w:rsid w:val="00E34D79"/>
    <w:rsid w:val="00E369AB"/>
    <w:rsid w:val="00E37ED2"/>
    <w:rsid w:val="00E419BE"/>
    <w:rsid w:val="00E55FC4"/>
    <w:rsid w:val="00E9193C"/>
    <w:rsid w:val="00EA5AFB"/>
    <w:rsid w:val="00EB3EDF"/>
    <w:rsid w:val="00EC75E8"/>
    <w:rsid w:val="00ED086D"/>
    <w:rsid w:val="00ED4A5E"/>
    <w:rsid w:val="00ED6284"/>
    <w:rsid w:val="00EE7084"/>
    <w:rsid w:val="00EF2F47"/>
    <w:rsid w:val="00F05816"/>
    <w:rsid w:val="00F1620E"/>
    <w:rsid w:val="00F21B8E"/>
    <w:rsid w:val="00F24BC6"/>
    <w:rsid w:val="00F347A6"/>
    <w:rsid w:val="00F37E23"/>
    <w:rsid w:val="00F42679"/>
    <w:rsid w:val="00F4480E"/>
    <w:rsid w:val="00F45586"/>
    <w:rsid w:val="00F526D9"/>
    <w:rsid w:val="00F53853"/>
    <w:rsid w:val="00F86894"/>
    <w:rsid w:val="00F96B40"/>
    <w:rsid w:val="00F97EB5"/>
    <w:rsid w:val="00FA40A0"/>
    <w:rsid w:val="00FB108F"/>
    <w:rsid w:val="00FB4435"/>
    <w:rsid w:val="00FC0F95"/>
    <w:rsid w:val="00FE1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E10F2"/>
  <w15:chartTrackingRefBased/>
  <w15:docId w15:val="{92E0B66A-A4DC-44C1-B425-7A6ACDD88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1324"/>
    <w:pPr>
      <w:spacing w:after="0" w:line="240" w:lineRule="auto"/>
    </w:pPr>
    <w:rPr>
      <w:rFonts w:ascii="Arial" w:eastAsia="Calibri" w:hAnsi="Arial" w:cs="Arial"/>
      <w:sz w:val="20"/>
      <w:szCs w:val="20"/>
      <w:lang w:bidi="en-US"/>
    </w:rPr>
  </w:style>
  <w:style w:type="paragraph" w:styleId="Heading1">
    <w:name w:val="heading 1"/>
    <w:basedOn w:val="Heading2"/>
    <w:next w:val="Normal"/>
    <w:link w:val="Heading1Char"/>
    <w:uiPriority w:val="9"/>
    <w:qFormat/>
    <w:rsid w:val="00321324"/>
    <w:pPr>
      <w:keepNext w:val="0"/>
      <w:keepLines w:val="0"/>
      <w:spacing w:before="0"/>
      <w:outlineLvl w:val="0"/>
    </w:pPr>
    <w:rPr>
      <w:rFonts w:ascii="Arial" w:eastAsia="Calibri" w:hAnsi="Arial" w:cs="Arial"/>
      <w:b/>
      <w:color w:val="auto"/>
      <w:sz w:val="24"/>
      <w:szCs w:val="24"/>
    </w:rPr>
  </w:style>
  <w:style w:type="paragraph" w:styleId="Heading2">
    <w:name w:val="heading 2"/>
    <w:basedOn w:val="Normal"/>
    <w:next w:val="Normal"/>
    <w:link w:val="Heading2Char"/>
    <w:uiPriority w:val="9"/>
    <w:semiHidden/>
    <w:unhideWhenUsed/>
    <w:qFormat/>
    <w:rsid w:val="0032132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324"/>
    <w:rPr>
      <w:rFonts w:ascii="Arial" w:eastAsia="Calibri" w:hAnsi="Arial" w:cs="Arial"/>
      <w:b/>
      <w:sz w:val="24"/>
      <w:szCs w:val="24"/>
      <w:lang w:bidi="en-US"/>
    </w:rPr>
  </w:style>
  <w:style w:type="paragraph" w:customStyle="1" w:styleId="MediumGrid2-Accent11">
    <w:name w:val="Medium Grid 2 - Accent 11"/>
    <w:aliases w:val="Bob Comments"/>
    <w:basedOn w:val="Normal"/>
    <w:link w:val="MediumGrid2-Accent1Char"/>
    <w:uiPriority w:val="1"/>
    <w:qFormat/>
    <w:rsid w:val="00321324"/>
    <w:rPr>
      <w:lang w:val="x-none" w:eastAsia="x-none"/>
    </w:rPr>
  </w:style>
  <w:style w:type="character" w:styleId="Hyperlink">
    <w:name w:val="Hyperlink"/>
    <w:uiPriority w:val="99"/>
    <w:unhideWhenUsed/>
    <w:rsid w:val="00321324"/>
    <w:rPr>
      <w:color w:val="0000FF"/>
      <w:u w:val="single"/>
    </w:rPr>
  </w:style>
  <w:style w:type="paragraph" w:styleId="Footer">
    <w:name w:val="footer"/>
    <w:basedOn w:val="Normal"/>
    <w:link w:val="FooterChar"/>
    <w:uiPriority w:val="99"/>
    <w:unhideWhenUsed/>
    <w:rsid w:val="00321324"/>
    <w:pPr>
      <w:tabs>
        <w:tab w:val="center" w:pos="4680"/>
        <w:tab w:val="right" w:pos="9360"/>
      </w:tabs>
    </w:pPr>
    <w:rPr>
      <w:lang w:val="x-none" w:eastAsia="x-none"/>
    </w:rPr>
  </w:style>
  <w:style w:type="character" w:customStyle="1" w:styleId="FooterChar">
    <w:name w:val="Footer Char"/>
    <w:basedOn w:val="DefaultParagraphFont"/>
    <w:link w:val="Footer"/>
    <w:uiPriority w:val="99"/>
    <w:rsid w:val="00321324"/>
    <w:rPr>
      <w:rFonts w:ascii="Arial" w:eastAsia="Calibri" w:hAnsi="Arial" w:cs="Arial"/>
      <w:sz w:val="20"/>
      <w:szCs w:val="20"/>
      <w:lang w:val="x-none" w:eastAsia="x-none" w:bidi="en-US"/>
    </w:rPr>
  </w:style>
  <w:style w:type="character" w:customStyle="1" w:styleId="MediumGrid2-Accent1Char">
    <w:name w:val="Medium Grid 2 - Accent 1 Char"/>
    <w:aliases w:val="Bob Comments Char,No Spacing Char"/>
    <w:link w:val="MediumGrid2-Accent11"/>
    <w:uiPriority w:val="1"/>
    <w:rsid w:val="00321324"/>
    <w:rPr>
      <w:rFonts w:ascii="Arial" w:eastAsia="Calibri" w:hAnsi="Arial" w:cs="Arial"/>
      <w:sz w:val="20"/>
      <w:szCs w:val="20"/>
      <w:lang w:val="x-none" w:eastAsia="x-none" w:bidi="en-US"/>
    </w:rPr>
  </w:style>
  <w:style w:type="character" w:customStyle="1" w:styleId="apple-converted-space">
    <w:name w:val="apple-converted-space"/>
    <w:rsid w:val="00321324"/>
  </w:style>
  <w:style w:type="paragraph" w:customStyle="1" w:styleId="ColorfulList-Accent11">
    <w:name w:val="Colorful List - Accent 11"/>
    <w:basedOn w:val="Normal"/>
    <w:uiPriority w:val="34"/>
    <w:qFormat/>
    <w:rsid w:val="00321324"/>
    <w:pPr>
      <w:contextualSpacing/>
    </w:pPr>
    <w:rPr>
      <w:rFonts w:cs="Times New Roman"/>
    </w:rPr>
  </w:style>
  <w:style w:type="paragraph" w:customStyle="1" w:styleId="xmsonormal">
    <w:name w:val="x_msonormal"/>
    <w:basedOn w:val="Normal"/>
    <w:uiPriority w:val="99"/>
    <w:rsid w:val="00321324"/>
    <w:rPr>
      <w:rFonts w:ascii="Times New Roman" w:hAnsi="Times New Roman" w:cs="Times New Roman"/>
      <w:sz w:val="24"/>
      <w:szCs w:val="24"/>
      <w:lang w:bidi="ar-SA"/>
    </w:rPr>
  </w:style>
  <w:style w:type="character" w:customStyle="1" w:styleId="highlight">
    <w:name w:val="highlight"/>
    <w:rsid w:val="00321324"/>
  </w:style>
  <w:style w:type="character" w:customStyle="1" w:styleId="Heading2Char">
    <w:name w:val="Heading 2 Char"/>
    <w:basedOn w:val="DefaultParagraphFont"/>
    <w:link w:val="Heading2"/>
    <w:uiPriority w:val="9"/>
    <w:semiHidden/>
    <w:rsid w:val="00321324"/>
    <w:rPr>
      <w:rFonts w:asciiTheme="majorHAnsi" w:eastAsiaTheme="majorEastAsia" w:hAnsiTheme="majorHAnsi" w:cstheme="majorBidi"/>
      <w:color w:val="2F5496" w:themeColor="accent1" w:themeShade="BF"/>
      <w:sz w:val="26"/>
      <w:szCs w:val="26"/>
      <w:lang w:bidi="en-US"/>
    </w:rPr>
  </w:style>
  <w:style w:type="character" w:styleId="UnresolvedMention">
    <w:name w:val="Unresolved Mention"/>
    <w:basedOn w:val="DefaultParagraphFont"/>
    <w:uiPriority w:val="99"/>
    <w:semiHidden/>
    <w:unhideWhenUsed/>
    <w:rsid w:val="003B5648"/>
    <w:rPr>
      <w:color w:val="605E5C"/>
      <w:shd w:val="clear" w:color="auto" w:fill="E1DFDD"/>
    </w:rPr>
  </w:style>
  <w:style w:type="table" w:styleId="TableGrid">
    <w:name w:val="Table Grid"/>
    <w:basedOn w:val="TableNormal"/>
    <w:uiPriority w:val="39"/>
    <w:rsid w:val="007730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6AF9"/>
    <w:pPr>
      <w:ind w:left="720"/>
      <w:contextualSpacing/>
    </w:pPr>
  </w:style>
  <w:style w:type="character" w:customStyle="1" w:styleId="markw7q2h9x8m">
    <w:name w:val="markw7q2h9x8m"/>
    <w:basedOn w:val="DefaultParagraphFont"/>
    <w:rsid w:val="00CB7CB3"/>
  </w:style>
  <w:style w:type="character" w:customStyle="1" w:styleId="marka4mbgs3yf">
    <w:name w:val="marka4mbgs3yf"/>
    <w:basedOn w:val="DefaultParagraphFont"/>
    <w:rsid w:val="00CB7CB3"/>
  </w:style>
  <w:style w:type="character" w:customStyle="1" w:styleId="marko6tehxx58">
    <w:name w:val="marko6tehxx58"/>
    <w:basedOn w:val="DefaultParagraphFont"/>
    <w:rsid w:val="00CB7CB3"/>
  </w:style>
  <w:style w:type="character" w:customStyle="1" w:styleId="markiaao1uuyy">
    <w:name w:val="markiaao1uuyy"/>
    <w:basedOn w:val="DefaultParagraphFont"/>
    <w:rsid w:val="00152063"/>
  </w:style>
  <w:style w:type="character" w:customStyle="1" w:styleId="markq8rwjzk7b">
    <w:name w:val="markq8rwjzk7b"/>
    <w:basedOn w:val="DefaultParagraphFont"/>
    <w:rsid w:val="00C6061C"/>
  </w:style>
  <w:style w:type="character" w:customStyle="1" w:styleId="markcok3sa238">
    <w:name w:val="markcok3sa238"/>
    <w:basedOn w:val="DefaultParagraphFont"/>
    <w:rsid w:val="00C6061C"/>
  </w:style>
  <w:style w:type="paragraph" w:styleId="Revision">
    <w:name w:val="Revision"/>
    <w:hidden/>
    <w:uiPriority w:val="99"/>
    <w:semiHidden/>
    <w:rsid w:val="00A27030"/>
    <w:pPr>
      <w:spacing w:after="0" w:line="240" w:lineRule="auto"/>
    </w:pPr>
    <w:rPr>
      <w:rFonts w:ascii="Arial" w:eastAsia="Calibri" w:hAnsi="Arial" w:cs="Arial"/>
      <w:sz w:val="20"/>
      <w:szCs w:val="20"/>
      <w:lang w:bidi="en-US"/>
    </w:rPr>
  </w:style>
  <w:style w:type="paragraph" w:styleId="Header">
    <w:name w:val="header"/>
    <w:basedOn w:val="Normal"/>
    <w:link w:val="HeaderChar"/>
    <w:uiPriority w:val="99"/>
    <w:unhideWhenUsed/>
    <w:rsid w:val="009E6856"/>
    <w:pPr>
      <w:tabs>
        <w:tab w:val="center" w:pos="4680"/>
        <w:tab w:val="right" w:pos="9360"/>
      </w:tabs>
    </w:pPr>
  </w:style>
  <w:style w:type="character" w:customStyle="1" w:styleId="HeaderChar">
    <w:name w:val="Header Char"/>
    <w:basedOn w:val="DefaultParagraphFont"/>
    <w:link w:val="Header"/>
    <w:uiPriority w:val="99"/>
    <w:rsid w:val="009E6856"/>
    <w:rPr>
      <w:rFonts w:ascii="Arial" w:eastAsia="Calibri" w:hAnsi="Arial" w:cs="Arial"/>
      <w:sz w:val="20"/>
      <w:szCs w:val="20"/>
      <w:lang w:bidi="en-US"/>
    </w:rPr>
  </w:style>
  <w:style w:type="character" w:styleId="CommentReference">
    <w:name w:val="annotation reference"/>
    <w:basedOn w:val="DefaultParagraphFont"/>
    <w:uiPriority w:val="99"/>
    <w:semiHidden/>
    <w:unhideWhenUsed/>
    <w:rsid w:val="002370A4"/>
    <w:rPr>
      <w:sz w:val="16"/>
      <w:szCs w:val="16"/>
    </w:rPr>
  </w:style>
  <w:style w:type="paragraph" w:styleId="CommentText">
    <w:name w:val="annotation text"/>
    <w:basedOn w:val="Normal"/>
    <w:link w:val="CommentTextChar"/>
    <w:uiPriority w:val="99"/>
    <w:unhideWhenUsed/>
    <w:rsid w:val="002370A4"/>
  </w:style>
  <w:style w:type="character" w:customStyle="1" w:styleId="CommentTextChar">
    <w:name w:val="Comment Text Char"/>
    <w:basedOn w:val="DefaultParagraphFont"/>
    <w:link w:val="CommentText"/>
    <w:uiPriority w:val="99"/>
    <w:rsid w:val="002370A4"/>
    <w:rPr>
      <w:rFonts w:ascii="Arial" w:eastAsia="Calibri"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2370A4"/>
    <w:rPr>
      <w:b/>
      <w:bCs/>
    </w:rPr>
  </w:style>
  <w:style w:type="character" w:customStyle="1" w:styleId="CommentSubjectChar">
    <w:name w:val="Comment Subject Char"/>
    <w:basedOn w:val="CommentTextChar"/>
    <w:link w:val="CommentSubject"/>
    <w:uiPriority w:val="99"/>
    <w:semiHidden/>
    <w:rsid w:val="002370A4"/>
    <w:rPr>
      <w:rFonts w:ascii="Arial" w:eastAsia="Calibri" w:hAnsi="Arial" w:cs="Arial"/>
      <w:b/>
      <w:bCs/>
      <w:sz w:val="20"/>
      <w:szCs w:val="20"/>
      <w:lang w:bidi="en-US"/>
    </w:rPr>
  </w:style>
  <w:style w:type="character" w:styleId="FollowedHyperlink">
    <w:name w:val="FollowedHyperlink"/>
    <w:basedOn w:val="DefaultParagraphFont"/>
    <w:uiPriority w:val="99"/>
    <w:semiHidden/>
    <w:unhideWhenUsed/>
    <w:rsid w:val="006F635F"/>
    <w:rPr>
      <w:color w:val="954F72" w:themeColor="followedHyperlink"/>
      <w:u w:val="single"/>
    </w:rPr>
  </w:style>
  <w:style w:type="paragraph" w:styleId="NormalWeb">
    <w:name w:val="Normal (Web)"/>
    <w:basedOn w:val="Normal"/>
    <w:uiPriority w:val="99"/>
    <w:unhideWhenUsed/>
    <w:rsid w:val="006F635F"/>
    <w:pPr>
      <w:spacing w:before="100" w:beforeAutospacing="1" w:after="100" w:afterAutospacing="1"/>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851102">
      <w:bodyDiv w:val="1"/>
      <w:marLeft w:val="0"/>
      <w:marRight w:val="0"/>
      <w:marTop w:val="0"/>
      <w:marBottom w:val="0"/>
      <w:divBdr>
        <w:top w:val="none" w:sz="0" w:space="0" w:color="auto"/>
        <w:left w:val="none" w:sz="0" w:space="0" w:color="auto"/>
        <w:bottom w:val="none" w:sz="0" w:space="0" w:color="auto"/>
        <w:right w:val="none" w:sz="0" w:space="0" w:color="auto"/>
      </w:divBdr>
    </w:div>
    <w:div w:id="473983102">
      <w:bodyDiv w:val="1"/>
      <w:marLeft w:val="0"/>
      <w:marRight w:val="0"/>
      <w:marTop w:val="0"/>
      <w:marBottom w:val="0"/>
      <w:divBdr>
        <w:top w:val="none" w:sz="0" w:space="0" w:color="auto"/>
        <w:left w:val="none" w:sz="0" w:space="0" w:color="auto"/>
        <w:bottom w:val="none" w:sz="0" w:space="0" w:color="auto"/>
        <w:right w:val="none" w:sz="0" w:space="0" w:color="auto"/>
      </w:divBdr>
      <w:divsChild>
        <w:div w:id="624122940">
          <w:marLeft w:val="0"/>
          <w:marRight w:val="0"/>
          <w:marTop w:val="0"/>
          <w:marBottom w:val="0"/>
          <w:divBdr>
            <w:top w:val="none" w:sz="0" w:space="0" w:color="auto"/>
            <w:left w:val="none" w:sz="0" w:space="0" w:color="auto"/>
            <w:bottom w:val="none" w:sz="0" w:space="0" w:color="auto"/>
            <w:right w:val="none" w:sz="0" w:space="0" w:color="auto"/>
          </w:divBdr>
        </w:div>
        <w:div w:id="930089975">
          <w:marLeft w:val="0"/>
          <w:marRight w:val="0"/>
          <w:marTop w:val="0"/>
          <w:marBottom w:val="0"/>
          <w:divBdr>
            <w:top w:val="none" w:sz="0" w:space="0" w:color="auto"/>
            <w:left w:val="none" w:sz="0" w:space="0" w:color="auto"/>
            <w:bottom w:val="none" w:sz="0" w:space="0" w:color="auto"/>
            <w:right w:val="none" w:sz="0" w:space="0" w:color="auto"/>
          </w:divBdr>
        </w:div>
        <w:div w:id="396363034">
          <w:marLeft w:val="0"/>
          <w:marRight w:val="0"/>
          <w:marTop w:val="0"/>
          <w:marBottom w:val="0"/>
          <w:divBdr>
            <w:top w:val="none" w:sz="0" w:space="0" w:color="auto"/>
            <w:left w:val="none" w:sz="0" w:space="0" w:color="auto"/>
            <w:bottom w:val="none" w:sz="0" w:space="0" w:color="auto"/>
            <w:right w:val="none" w:sz="0" w:space="0" w:color="auto"/>
          </w:divBdr>
        </w:div>
        <w:div w:id="1200433645">
          <w:marLeft w:val="0"/>
          <w:marRight w:val="0"/>
          <w:marTop w:val="0"/>
          <w:marBottom w:val="0"/>
          <w:divBdr>
            <w:top w:val="none" w:sz="0" w:space="0" w:color="auto"/>
            <w:left w:val="none" w:sz="0" w:space="0" w:color="auto"/>
            <w:bottom w:val="none" w:sz="0" w:space="0" w:color="auto"/>
            <w:right w:val="none" w:sz="0" w:space="0" w:color="auto"/>
          </w:divBdr>
        </w:div>
        <w:div w:id="110058352">
          <w:marLeft w:val="0"/>
          <w:marRight w:val="0"/>
          <w:marTop w:val="0"/>
          <w:marBottom w:val="0"/>
          <w:divBdr>
            <w:top w:val="none" w:sz="0" w:space="0" w:color="auto"/>
            <w:left w:val="none" w:sz="0" w:space="0" w:color="auto"/>
            <w:bottom w:val="none" w:sz="0" w:space="0" w:color="auto"/>
            <w:right w:val="none" w:sz="0" w:space="0" w:color="auto"/>
          </w:divBdr>
        </w:div>
        <w:div w:id="40980597">
          <w:marLeft w:val="0"/>
          <w:marRight w:val="0"/>
          <w:marTop w:val="0"/>
          <w:marBottom w:val="0"/>
          <w:divBdr>
            <w:top w:val="none" w:sz="0" w:space="0" w:color="auto"/>
            <w:left w:val="none" w:sz="0" w:space="0" w:color="auto"/>
            <w:bottom w:val="none" w:sz="0" w:space="0" w:color="auto"/>
            <w:right w:val="none" w:sz="0" w:space="0" w:color="auto"/>
          </w:divBdr>
        </w:div>
        <w:div w:id="659506838">
          <w:marLeft w:val="0"/>
          <w:marRight w:val="0"/>
          <w:marTop w:val="0"/>
          <w:marBottom w:val="0"/>
          <w:divBdr>
            <w:top w:val="none" w:sz="0" w:space="0" w:color="auto"/>
            <w:left w:val="none" w:sz="0" w:space="0" w:color="auto"/>
            <w:bottom w:val="none" w:sz="0" w:space="0" w:color="auto"/>
            <w:right w:val="none" w:sz="0" w:space="0" w:color="auto"/>
          </w:divBdr>
        </w:div>
        <w:div w:id="98598722">
          <w:marLeft w:val="0"/>
          <w:marRight w:val="0"/>
          <w:marTop w:val="0"/>
          <w:marBottom w:val="0"/>
          <w:divBdr>
            <w:top w:val="none" w:sz="0" w:space="0" w:color="auto"/>
            <w:left w:val="none" w:sz="0" w:space="0" w:color="auto"/>
            <w:bottom w:val="none" w:sz="0" w:space="0" w:color="auto"/>
            <w:right w:val="none" w:sz="0" w:space="0" w:color="auto"/>
          </w:divBdr>
        </w:div>
        <w:div w:id="632953573">
          <w:marLeft w:val="0"/>
          <w:marRight w:val="0"/>
          <w:marTop w:val="0"/>
          <w:marBottom w:val="0"/>
          <w:divBdr>
            <w:top w:val="none" w:sz="0" w:space="0" w:color="auto"/>
            <w:left w:val="none" w:sz="0" w:space="0" w:color="auto"/>
            <w:bottom w:val="none" w:sz="0" w:space="0" w:color="auto"/>
            <w:right w:val="none" w:sz="0" w:space="0" w:color="auto"/>
          </w:divBdr>
        </w:div>
        <w:div w:id="1284772198">
          <w:marLeft w:val="0"/>
          <w:marRight w:val="0"/>
          <w:marTop w:val="0"/>
          <w:marBottom w:val="0"/>
          <w:divBdr>
            <w:top w:val="none" w:sz="0" w:space="0" w:color="auto"/>
            <w:left w:val="none" w:sz="0" w:space="0" w:color="auto"/>
            <w:bottom w:val="none" w:sz="0" w:space="0" w:color="auto"/>
            <w:right w:val="none" w:sz="0" w:space="0" w:color="auto"/>
          </w:divBdr>
        </w:div>
        <w:div w:id="243803007">
          <w:marLeft w:val="0"/>
          <w:marRight w:val="0"/>
          <w:marTop w:val="0"/>
          <w:marBottom w:val="0"/>
          <w:divBdr>
            <w:top w:val="none" w:sz="0" w:space="0" w:color="auto"/>
            <w:left w:val="none" w:sz="0" w:space="0" w:color="auto"/>
            <w:bottom w:val="none" w:sz="0" w:space="0" w:color="auto"/>
            <w:right w:val="none" w:sz="0" w:space="0" w:color="auto"/>
          </w:divBdr>
        </w:div>
        <w:div w:id="860050151">
          <w:marLeft w:val="0"/>
          <w:marRight w:val="0"/>
          <w:marTop w:val="0"/>
          <w:marBottom w:val="0"/>
          <w:divBdr>
            <w:top w:val="none" w:sz="0" w:space="0" w:color="auto"/>
            <w:left w:val="none" w:sz="0" w:space="0" w:color="auto"/>
            <w:bottom w:val="none" w:sz="0" w:space="0" w:color="auto"/>
            <w:right w:val="none" w:sz="0" w:space="0" w:color="auto"/>
          </w:divBdr>
        </w:div>
        <w:div w:id="301427814">
          <w:marLeft w:val="0"/>
          <w:marRight w:val="0"/>
          <w:marTop w:val="0"/>
          <w:marBottom w:val="0"/>
          <w:divBdr>
            <w:top w:val="none" w:sz="0" w:space="0" w:color="auto"/>
            <w:left w:val="none" w:sz="0" w:space="0" w:color="auto"/>
            <w:bottom w:val="none" w:sz="0" w:space="0" w:color="auto"/>
            <w:right w:val="none" w:sz="0" w:space="0" w:color="auto"/>
          </w:divBdr>
        </w:div>
        <w:div w:id="650864644">
          <w:marLeft w:val="0"/>
          <w:marRight w:val="0"/>
          <w:marTop w:val="0"/>
          <w:marBottom w:val="0"/>
          <w:divBdr>
            <w:top w:val="none" w:sz="0" w:space="0" w:color="auto"/>
            <w:left w:val="none" w:sz="0" w:space="0" w:color="auto"/>
            <w:bottom w:val="none" w:sz="0" w:space="0" w:color="auto"/>
            <w:right w:val="none" w:sz="0" w:space="0" w:color="auto"/>
          </w:divBdr>
        </w:div>
        <w:div w:id="404182942">
          <w:marLeft w:val="0"/>
          <w:marRight w:val="0"/>
          <w:marTop w:val="0"/>
          <w:marBottom w:val="0"/>
          <w:divBdr>
            <w:top w:val="none" w:sz="0" w:space="0" w:color="auto"/>
            <w:left w:val="none" w:sz="0" w:space="0" w:color="auto"/>
            <w:bottom w:val="none" w:sz="0" w:space="0" w:color="auto"/>
            <w:right w:val="none" w:sz="0" w:space="0" w:color="auto"/>
          </w:divBdr>
        </w:div>
        <w:div w:id="1951349927">
          <w:marLeft w:val="0"/>
          <w:marRight w:val="0"/>
          <w:marTop w:val="0"/>
          <w:marBottom w:val="0"/>
          <w:divBdr>
            <w:top w:val="none" w:sz="0" w:space="0" w:color="auto"/>
            <w:left w:val="none" w:sz="0" w:space="0" w:color="auto"/>
            <w:bottom w:val="none" w:sz="0" w:space="0" w:color="auto"/>
            <w:right w:val="none" w:sz="0" w:space="0" w:color="auto"/>
          </w:divBdr>
        </w:div>
        <w:div w:id="1738937432">
          <w:marLeft w:val="0"/>
          <w:marRight w:val="0"/>
          <w:marTop w:val="0"/>
          <w:marBottom w:val="0"/>
          <w:divBdr>
            <w:top w:val="none" w:sz="0" w:space="0" w:color="auto"/>
            <w:left w:val="none" w:sz="0" w:space="0" w:color="auto"/>
            <w:bottom w:val="none" w:sz="0" w:space="0" w:color="auto"/>
            <w:right w:val="none" w:sz="0" w:space="0" w:color="auto"/>
          </w:divBdr>
        </w:div>
        <w:div w:id="85003533">
          <w:marLeft w:val="0"/>
          <w:marRight w:val="0"/>
          <w:marTop w:val="0"/>
          <w:marBottom w:val="0"/>
          <w:divBdr>
            <w:top w:val="none" w:sz="0" w:space="0" w:color="auto"/>
            <w:left w:val="none" w:sz="0" w:space="0" w:color="auto"/>
            <w:bottom w:val="none" w:sz="0" w:space="0" w:color="auto"/>
            <w:right w:val="none" w:sz="0" w:space="0" w:color="auto"/>
          </w:divBdr>
        </w:div>
        <w:div w:id="712464356">
          <w:marLeft w:val="0"/>
          <w:marRight w:val="0"/>
          <w:marTop w:val="0"/>
          <w:marBottom w:val="0"/>
          <w:divBdr>
            <w:top w:val="none" w:sz="0" w:space="0" w:color="auto"/>
            <w:left w:val="none" w:sz="0" w:space="0" w:color="auto"/>
            <w:bottom w:val="none" w:sz="0" w:space="0" w:color="auto"/>
            <w:right w:val="none" w:sz="0" w:space="0" w:color="auto"/>
          </w:divBdr>
        </w:div>
        <w:div w:id="1437945825">
          <w:marLeft w:val="0"/>
          <w:marRight w:val="0"/>
          <w:marTop w:val="0"/>
          <w:marBottom w:val="0"/>
          <w:divBdr>
            <w:top w:val="none" w:sz="0" w:space="0" w:color="auto"/>
            <w:left w:val="none" w:sz="0" w:space="0" w:color="auto"/>
            <w:bottom w:val="none" w:sz="0" w:space="0" w:color="auto"/>
            <w:right w:val="none" w:sz="0" w:space="0" w:color="auto"/>
          </w:divBdr>
        </w:div>
        <w:div w:id="11301820">
          <w:marLeft w:val="0"/>
          <w:marRight w:val="0"/>
          <w:marTop w:val="0"/>
          <w:marBottom w:val="0"/>
          <w:divBdr>
            <w:top w:val="none" w:sz="0" w:space="0" w:color="auto"/>
            <w:left w:val="none" w:sz="0" w:space="0" w:color="auto"/>
            <w:bottom w:val="none" w:sz="0" w:space="0" w:color="auto"/>
            <w:right w:val="none" w:sz="0" w:space="0" w:color="auto"/>
          </w:divBdr>
        </w:div>
        <w:div w:id="786319863">
          <w:marLeft w:val="0"/>
          <w:marRight w:val="0"/>
          <w:marTop w:val="0"/>
          <w:marBottom w:val="0"/>
          <w:divBdr>
            <w:top w:val="none" w:sz="0" w:space="0" w:color="auto"/>
            <w:left w:val="none" w:sz="0" w:space="0" w:color="auto"/>
            <w:bottom w:val="none" w:sz="0" w:space="0" w:color="auto"/>
            <w:right w:val="none" w:sz="0" w:space="0" w:color="auto"/>
          </w:divBdr>
        </w:div>
        <w:div w:id="694112622">
          <w:marLeft w:val="0"/>
          <w:marRight w:val="0"/>
          <w:marTop w:val="0"/>
          <w:marBottom w:val="0"/>
          <w:divBdr>
            <w:top w:val="none" w:sz="0" w:space="0" w:color="auto"/>
            <w:left w:val="none" w:sz="0" w:space="0" w:color="auto"/>
            <w:bottom w:val="none" w:sz="0" w:space="0" w:color="auto"/>
            <w:right w:val="none" w:sz="0" w:space="0" w:color="auto"/>
          </w:divBdr>
        </w:div>
        <w:div w:id="324551065">
          <w:marLeft w:val="0"/>
          <w:marRight w:val="0"/>
          <w:marTop w:val="0"/>
          <w:marBottom w:val="0"/>
          <w:divBdr>
            <w:top w:val="none" w:sz="0" w:space="0" w:color="auto"/>
            <w:left w:val="none" w:sz="0" w:space="0" w:color="auto"/>
            <w:bottom w:val="none" w:sz="0" w:space="0" w:color="auto"/>
            <w:right w:val="none" w:sz="0" w:space="0" w:color="auto"/>
          </w:divBdr>
        </w:div>
      </w:divsChild>
    </w:div>
    <w:div w:id="577178816">
      <w:bodyDiv w:val="1"/>
      <w:marLeft w:val="0"/>
      <w:marRight w:val="0"/>
      <w:marTop w:val="0"/>
      <w:marBottom w:val="0"/>
      <w:divBdr>
        <w:top w:val="none" w:sz="0" w:space="0" w:color="auto"/>
        <w:left w:val="none" w:sz="0" w:space="0" w:color="auto"/>
        <w:bottom w:val="none" w:sz="0" w:space="0" w:color="auto"/>
        <w:right w:val="none" w:sz="0" w:space="0" w:color="auto"/>
      </w:divBdr>
      <w:divsChild>
        <w:div w:id="299696773">
          <w:marLeft w:val="0"/>
          <w:marRight w:val="0"/>
          <w:marTop w:val="0"/>
          <w:marBottom w:val="0"/>
          <w:divBdr>
            <w:top w:val="none" w:sz="0" w:space="0" w:color="auto"/>
            <w:left w:val="none" w:sz="0" w:space="0" w:color="auto"/>
            <w:bottom w:val="none" w:sz="0" w:space="0" w:color="auto"/>
            <w:right w:val="none" w:sz="0" w:space="0" w:color="auto"/>
          </w:divBdr>
        </w:div>
        <w:div w:id="687174101">
          <w:marLeft w:val="0"/>
          <w:marRight w:val="0"/>
          <w:marTop w:val="0"/>
          <w:marBottom w:val="0"/>
          <w:divBdr>
            <w:top w:val="none" w:sz="0" w:space="0" w:color="auto"/>
            <w:left w:val="none" w:sz="0" w:space="0" w:color="auto"/>
            <w:bottom w:val="none" w:sz="0" w:space="0" w:color="auto"/>
            <w:right w:val="none" w:sz="0" w:space="0" w:color="auto"/>
          </w:divBdr>
        </w:div>
        <w:div w:id="324355725">
          <w:marLeft w:val="0"/>
          <w:marRight w:val="0"/>
          <w:marTop w:val="0"/>
          <w:marBottom w:val="0"/>
          <w:divBdr>
            <w:top w:val="none" w:sz="0" w:space="0" w:color="auto"/>
            <w:left w:val="none" w:sz="0" w:space="0" w:color="auto"/>
            <w:bottom w:val="none" w:sz="0" w:space="0" w:color="auto"/>
            <w:right w:val="none" w:sz="0" w:space="0" w:color="auto"/>
          </w:divBdr>
        </w:div>
      </w:divsChild>
    </w:div>
    <w:div w:id="704792512">
      <w:bodyDiv w:val="1"/>
      <w:marLeft w:val="0"/>
      <w:marRight w:val="0"/>
      <w:marTop w:val="0"/>
      <w:marBottom w:val="0"/>
      <w:divBdr>
        <w:top w:val="none" w:sz="0" w:space="0" w:color="auto"/>
        <w:left w:val="none" w:sz="0" w:space="0" w:color="auto"/>
        <w:bottom w:val="none" w:sz="0" w:space="0" w:color="auto"/>
        <w:right w:val="none" w:sz="0" w:space="0" w:color="auto"/>
      </w:divBdr>
    </w:div>
    <w:div w:id="924345532">
      <w:bodyDiv w:val="1"/>
      <w:marLeft w:val="0"/>
      <w:marRight w:val="0"/>
      <w:marTop w:val="0"/>
      <w:marBottom w:val="0"/>
      <w:divBdr>
        <w:top w:val="none" w:sz="0" w:space="0" w:color="auto"/>
        <w:left w:val="none" w:sz="0" w:space="0" w:color="auto"/>
        <w:bottom w:val="none" w:sz="0" w:space="0" w:color="auto"/>
        <w:right w:val="none" w:sz="0" w:space="0" w:color="auto"/>
      </w:divBdr>
    </w:div>
    <w:div w:id="1176967405">
      <w:bodyDiv w:val="1"/>
      <w:marLeft w:val="0"/>
      <w:marRight w:val="0"/>
      <w:marTop w:val="0"/>
      <w:marBottom w:val="0"/>
      <w:divBdr>
        <w:top w:val="none" w:sz="0" w:space="0" w:color="auto"/>
        <w:left w:val="none" w:sz="0" w:space="0" w:color="auto"/>
        <w:bottom w:val="none" w:sz="0" w:space="0" w:color="auto"/>
        <w:right w:val="none" w:sz="0" w:space="0" w:color="auto"/>
      </w:divBdr>
    </w:div>
    <w:div w:id="1284387576">
      <w:bodyDiv w:val="1"/>
      <w:marLeft w:val="0"/>
      <w:marRight w:val="0"/>
      <w:marTop w:val="0"/>
      <w:marBottom w:val="0"/>
      <w:divBdr>
        <w:top w:val="none" w:sz="0" w:space="0" w:color="auto"/>
        <w:left w:val="none" w:sz="0" w:space="0" w:color="auto"/>
        <w:bottom w:val="none" w:sz="0" w:space="0" w:color="auto"/>
        <w:right w:val="none" w:sz="0" w:space="0" w:color="auto"/>
      </w:divBdr>
    </w:div>
    <w:div w:id="1331366442">
      <w:bodyDiv w:val="1"/>
      <w:marLeft w:val="0"/>
      <w:marRight w:val="0"/>
      <w:marTop w:val="0"/>
      <w:marBottom w:val="0"/>
      <w:divBdr>
        <w:top w:val="none" w:sz="0" w:space="0" w:color="auto"/>
        <w:left w:val="none" w:sz="0" w:space="0" w:color="auto"/>
        <w:bottom w:val="none" w:sz="0" w:space="0" w:color="auto"/>
        <w:right w:val="none" w:sz="0" w:space="0" w:color="auto"/>
      </w:divBdr>
    </w:div>
    <w:div w:id="1687709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C19DA11084BB94C97F3CA92CDAFC6B3" ma:contentTypeVersion="14" ma:contentTypeDescription="Create a new document." ma:contentTypeScope="" ma:versionID="3d49aac0268ff994f61b0529e58afe39">
  <xsd:schema xmlns:xsd="http://www.w3.org/2001/XMLSchema" xmlns:xs="http://www.w3.org/2001/XMLSchema" xmlns:p="http://schemas.microsoft.com/office/2006/metadata/properties" xmlns:ns2="6f4dd139-d5da-4f3b-8198-29478e422370" xmlns:ns3="cacb081c-b966-43bd-b7c8-da36ad9181ac" targetNamespace="http://schemas.microsoft.com/office/2006/metadata/properties" ma:root="true" ma:fieldsID="e415ecb5e37597cf757f00abf7ff1a6f" ns2:_="" ns3:_="">
    <xsd:import namespace="6f4dd139-d5da-4f3b-8198-29478e422370"/>
    <xsd:import namespace="cacb081c-b966-43bd-b7c8-da36ad9181a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4dd139-d5da-4f3b-8198-29478e4223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cb081c-b966-43bd-b7c8-da36ad9181ac" elementFormDefault="qualified">
    <xsd:import namespace="http://schemas.microsoft.com/office/2006/documentManagement/types"/>
    <xsd:import namespace="http://schemas.microsoft.com/office/infopath/2007/PartnerControls"/>
    <xsd:element name="SharedWithUsers" ma:index="17"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BC894F-F5B7-464D-B919-061D1CFF2305}">
  <ds:schemaRefs>
    <ds:schemaRef ds:uri="http://schemas.openxmlformats.org/officeDocument/2006/bibliography"/>
  </ds:schemaRefs>
</ds:datastoreItem>
</file>

<file path=customXml/itemProps2.xml><?xml version="1.0" encoding="utf-8"?>
<ds:datastoreItem xmlns:ds="http://schemas.openxmlformats.org/officeDocument/2006/customXml" ds:itemID="{F777A8AF-1E57-40D9-AF62-272A6285E4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4dd139-d5da-4f3b-8198-29478e422370"/>
    <ds:schemaRef ds:uri="cacb081c-b966-43bd-b7c8-da36ad9181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6C6081-BAAA-4E58-91DA-D03F38E2CFCD}">
  <ds:schemaRefs>
    <ds:schemaRef ds:uri="http://schemas.microsoft.com/sharepoint/v3/contenttype/forms"/>
  </ds:schemaRefs>
</ds:datastoreItem>
</file>

<file path=customXml/itemProps4.xml><?xml version="1.0" encoding="utf-8"?>
<ds:datastoreItem xmlns:ds="http://schemas.openxmlformats.org/officeDocument/2006/customXml" ds:itemID="{7705DC6B-A58F-45ED-958D-A8E06961507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1096</Words>
  <Characters>6252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Delaney Callahan</dc:creator>
  <cp:keywords/>
  <dc:description/>
  <cp:lastModifiedBy>Microsoft Office User</cp:lastModifiedBy>
  <cp:revision>3</cp:revision>
  <dcterms:created xsi:type="dcterms:W3CDTF">2023-03-09T14:29:00Z</dcterms:created>
  <dcterms:modified xsi:type="dcterms:W3CDTF">2023-03-09T14:29:00Z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0x010100BC19DA11084BB94C97F3CA92CDAFC6B3</vt:lpwstr>
  </property>
</Properties>
</file>