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9987728" w:rsidR="00321324" w:rsidRDefault="00A75476" w:rsidP="00A75476">
      <w:r w:rsidRPr="00A75476">
        <w:rPr>
          <w:noProof/>
        </w:rPr>
        <w:drawing>
          <wp:anchor distT="0" distB="0" distL="114300" distR="114300" simplePos="0" relativeHeight="251658241" behindDoc="0" locked="0" layoutInCell="1" allowOverlap="1" wp14:anchorId="60D79E68" wp14:editId="6FDF3685">
            <wp:simplePos x="0" y="0"/>
            <wp:positionH relativeFrom="column">
              <wp:posOffset>6985</wp:posOffset>
            </wp:positionH>
            <wp:positionV relativeFrom="paragraph">
              <wp:posOffset>338947</wp:posOffset>
            </wp:positionV>
            <wp:extent cx="429895" cy="429895"/>
            <wp:effectExtent l="0" t="0" r="1905" b="190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86">
        <w:rPr>
          <w:noProof/>
        </w:rPr>
        <mc:AlternateContent>
          <mc:Choice Requires="wps">
            <w:drawing>
              <wp:anchor distT="0" distB="0" distL="114300" distR="114300" simplePos="0" relativeHeight="251658240" behindDoc="0" locked="0" layoutInCell="1" allowOverlap="1" wp14:anchorId="0F86DDCF" wp14:editId="046D95F2">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A754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6DDCF" id="_x0000_t202" coordsize="21600,21600" o:spt="202" path="m,l,21600r21600,l21600,xe">
                <v:stroke joinstyle="miter"/>
                <v:path gradientshapeok="t" o:connecttype="rect"/>
              </v:shapetype>
              <v:shape id="Text Box 1" o:spid="_x0000_s1026" type="#_x0000_t202" style="position:absolute;margin-left:275.95pt;margin-top:-47.5pt;width:228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" filled="f" stroked="f">
                <v:textbox>
                  <w:txbxContent>
                    <w:p w14:paraId="11519A24" w14:textId="77777777" w:rsidR="00321324" w:rsidRPr="00D636DB" w:rsidRDefault="00321324" w:rsidP="00A75476"/>
                  </w:txbxContent>
                </v:textbox>
              </v:shape>
            </w:pict>
          </mc:Fallback>
        </mc:AlternateContent>
      </w:r>
    </w:p>
    <w:p w14:paraId="18F772C3" w14:textId="23CDD46C" w:rsidR="00B343CE" w:rsidRPr="00346D33" w:rsidRDefault="00A75476" w:rsidP="0003666E">
      <w:pPr>
        <w:spacing w:line="240" w:lineRule="auto"/>
        <w:rPr>
          <w:rFonts w:cs="Arial"/>
          <w:b/>
          <w:bCs/>
        </w:rPr>
      </w:pPr>
      <w:r w:rsidRPr="00346D33">
        <w:t xml:space="preserve">Benefit Comply </w:t>
      </w:r>
      <w:r w:rsidRPr="00346D33">
        <w:br/>
      </w:r>
      <w:r w:rsidRPr="00346D33">
        <w:rPr>
          <w:rFonts w:cs="Arial"/>
          <w:b/>
          <w:bCs/>
        </w:rPr>
        <w:t>Compliance</w:t>
      </w:r>
      <w:r w:rsidR="00833BC7" w:rsidRPr="00346D33">
        <w:rPr>
          <w:rFonts w:cs="Arial"/>
          <w:b/>
          <w:bCs/>
        </w:rPr>
        <w:t xml:space="preserve"> Focus</w:t>
      </w:r>
      <w:r w:rsidRPr="00346D33">
        <w:rPr>
          <w:rFonts w:cs="Arial"/>
          <w:b/>
          <w:bCs/>
        </w:rPr>
        <w:t xml:space="preserve"> </w:t>
      </w:r>
      <w:r w:rsidR="00593CE6" w:rsidRPr="00346D33">
        <w:rPr>
          <w:rFonts w:cs="Arial"/>
          <w:b/>
          <w:bCs/>
        </w:rPr>
        <w:t>Issue Brief</w:t>
      </w:r>
    </w:p>
    <w:p w14:paraId="2F2535CF" w14:textId="77777777" w:rsidR="0003666E" w:rsidRPr="0003666E" w:rsidRDefault="0003666E" w:rsidP="0003666E">
      <w:pPr>
        <w:spacing w:line="240" w:lineRule="auto"/>
        <w:rPr>
          <w:rFonts w:ascii="Arial" w:hAnsi="Arial" w:cs="Arial"/>
          <w:b/>
          <w:bCs/>
        </w:rPr>
      </w:pPr>
    </w:p>
    <w:p w14:paraId="2986C0E3" w14:textId="30E210A9" w:rsidR="00BB068C" w:rsidRPr="00346D33" w:rsidRDefault="00593CE6" w:rsidP="00EC6F17">
      <w:pPr>
        <w:pStyle w:val="Heading1"/>
        <w:rPr>
          <w:rFonts w:ascii="Georgia" w:hAnsi="Georgia"/>
        </w:rPr>
      </w:pPr>
      <w:r w:rsidRPr="00346D33">
        <w:rPr>
          <w:rFonts w:ascii="Georgia" w:hAnsi="Georgia"/>
        </w:rPr>
        <w:t xml:space="preserve">Correcting </w:t>
      </w:r>
      <w:r w:rsidR="00471721" w:rsidRPr="00346D33">
        <w:rPr>
          <w:rFonts w:ascii="Georgia" w:hAnsi="Georgia"/>
        </w:rPr>
        <w:t>HSA Excess Contributions</w:t>
      </w:r>
    </w:p>
    <w:p w14:paraId="040CD6AE" w14:textId="0E24C288" w:rsidR="00A75476" w:rsidRPr="00346D33" w:rsidRDefault="00BB068C" w:rsidP="00BB068C">
      <w:pPr>
        <w:pStyle w:val="Heading2"/>
        <w:framePr w:wrap="around"/>
        <w:rPr>
          <w:rFonts w:ascii="Georgia" w:hAnsi="Georgia"/>
        </w:rPr>
      </w:pPr>
      <w:r w:rsidRPr="00346D33">
        <w:rPr>
          <w:rFonts w:ascii="Georgia" w:hAnsi="Georgia"/>
        </w:rPr>
        <w:t xml:space="preserve">Date Issued: </w:t>
      </w:r>
      <w:r w:rsidR="009932E2" w:rsidRPr="00346D33">
        <w:rPr>
          <w:rFonts w:ascii="Georgia" w:hAnsi="Georgia"/>
        </w:rPr>
        <w:t>March 2023</w:t>
      </w:r>
    </w:p>
    <w:p w14:paraId="5B6CDF86" w14:textId="77777777" w:rsidR="00BB068C" w:rsidRPr="00346D33" w:rsidRDefault="00BB068C" w:rsidP="00EC6F17">
      <w:pPr>
        <w:pStyle w:val="Heading2"/>
        <w:framePr w:wrap="around"/>
        <w:rPr>
          <w:rFonts w:ascii="Georgia" w:hAnsi="Georgia"/>
        </w:rPr>
      </w:pPr>
    </w:p>
    <w:p w14:paraId="09A98E94" w14:textId="5314FF96" w:rsidR="00B343CE" w:rsidRDefault="00B343CE" w:rsidP="025538E1">
      <w:pPr>
        <w:pStyle w:val="Heading2"/>
        <w:framePr w:wrap="around"/>
        <w:rPr>
          <w:rFonts w:ascii="Georgia" w:hAnsi="Georgia"/>
        </w:rPr>
      </w:pPr>
      <w:r w:rsidRPr="00346D33">
        <w:rPr>
          <w:rFonts w:ascii="Georgia" w:hAnsi="Georgia"/>
        </w:rPr>
        <w:t>Background</w:t>
      </w:r>
    </w:p>
    <w:p w14:paraId="519EA133" w14:textId="0493661C" w:rsidR="00B400B0" w:rsidRPr="00B400B0" w:rsidRDefault="00197525" w:rsidP="00B400B0">
      <w:pPr>
        <w:rPr>
          <w:color w:val="auto"/>
        </w:rPr>
      </w:pPr>
      <w:r w:rsidRPr="00197525">
        <w:rPr>
          <w:color w:val="auto"/>
        </w:rPr>
        <w:t xml:space="preserve">The IRS sets the maximum annual HSA contribution </w:t>
      </w:r>
      <w:r>
        <w:rPr>
          <w:color w:val="auto"/>
        </w:rPr>
        <w:t>each year and c</w:t>
      </w:r>
      <w:r w:rsidRPr="00197525">
        <w:rPr>
          <w:color w:val="auto"/>
        </w:rPr>
        <w:t xml:space="preserve">ontributing more than </w:t>
      </w:r>
      <w:r w:rsidR="00852909">
        <w:rPr>
          <w:color w:val="auto"/>
        </w:rPr>
        <w:t>an individual H</w:t>
      </w:r>
      <w:r w:rsidR="006F2329">
        <w:rPr>
          <w:color w:val="auto"/>
        </w:rPr>
        <w:t>SA</w:t>
      </w:r>
      <w:r w:rsidR="00852909">
        <w:rPr>
          <w:color w:val="auto"/>
        </w:rPr>
        <w:t xml:space="preserve"> account holder is eligible for </w:t>
      </w:r>
      <w:r w:rsidRPr="00197525">
        <w:rPr>
          <w:color w:val="auto"/>
        </w:rPr>
        <w:t>is known as an excess HSA contribution.</w:t>
      </w:r>
      <w:r w:rsidR="00B400B0" w:rsidRPr="00B400B0">
        <w:rPr>
          <w:color w:val="auto"/>
        </w:rPr>
        <w:t xml:space="preserve"> </w:t>
      </w:r>
      <w:r w:rsidR="00B400B0">
        <w:rPr>
          <w:color w:val="auto"/>
        </w:rPr>
        <w:t xml:space="preserve"> </w:t>
      </w:r>
      <w:r w:rsidR="00B400B0" w:rsidRPr="00B400B0">
        <w:rPr>
          <w:color w:val="auto"/>
        </w:rPr>
        <w:t>All excess contributions are subject to income tax and a 6% excise tax each year until corrected.</w:t>
      </w:r>
    </w:p>
    <w:p w14:paraId="77BA28AE" w14:textId="2E717D44" w:rsidR="00010587" w:rsidRDefault="00620561" w:rsidP="00B400B0">
      <w:pPr>
        <w:rPr>
          <w:color w:val="auto"/>
        </w:rPr>
      </w:pPr>
      <w:r w:rsidRPr="4676EA04">
        <w:rPr>
          <w:color w:val="auto"/>
        </w:rPr>
        <w:t>Excess contributions can occur for several reasons, including the following:</w:t>
      </w:r>
    </w:p>
    <w:p w14:paraId="7160C6FB" w14:textId="53AE8FE2" w:rsidR="00431A86" w:rsidRDefault="00431A86" w:rsidP="005F05D2">
      <w:pPr>
        <w:pStyle w:val="ListParagraph"/>
        <w:numPr>
          <w:ilvl w:val="0"/>
          <w:numId w:val="22"/>
        </w:numPr>
        <w:rPr>
          <w:color w:val="auto"/>
        </w:rPr>
      </w:pPr>
      <w:r w:rsidRPr="4676EA04">
        <w:rPr>
          <w:color w:val="auto"/>
          <w:u w:val="single"/>
        </w:rPr>
        <w:t>Failing to account</w:t>
      </w:r>
      <w:r w:rsidR="005F05D2" w:rsidRPr="4676EA04">
        <w:rPr>
          <w:color w:val="auto"/>
          <w:u w:val="single"/>
        </w:rPr>
        <w:t xml:space="preserve"> for HSA contributions made by an employer or another individual.</w:t>
      </w:r>
      <w:r w:rsidR="005F05D2" w:rsidRPr="4676EA04">
        <w:rPr>
          <w:color w:val="auto"/>
        </w:rPr>
        <w:t xml:space="preserve"> All contributions made by the HSA account holder, an employer, or by any other individual count toward the annual contribution limit.</w:t>
      </w:r>
    </w:p>
    <w:p w14:paraId="4402151E" w14:textId="21CC64E4" w:rsidR="005F05D2" w:rsidRDefault="00857100" w:rsidP="005F05D2">
      <w:pPr>
        <w:pStyle w:val="ListParagraph"/>
        <w:numPr>
          <w:ilvl w:val="0"/>
          <w:numId w:val="22"/>
        </w:numPr>
        <w:rPr>
          <w:color w:val="auto"/>
        </w:rPr>
      </w:pPr>
      <w:r w:rsidRPr="4676EA04">
        <w:rPr>
          <w:color w:val="auto"/>
          <w:u w:val="single"/>
        </w:rPr>
        <w:t>Failing to account for being HSA-eligible for only a portion of the year</w:t>
      </w:r>
      <w:r w:rsidRPr="4676EA04">
        <w:rPr>
          <w:color w:val="auto"/>
        </w:rPr>
        <w:t xml:space="preserve">. </w:t>
      </w:r>
      <w:r w:rsidR="004D0430" w:rsidRPr="4676EA04">
        <w:rPr>
          <w:color w:val="auto"/>
        </w:rPr>
        <w:t xml:space="preserve">HSA-eligibility is determined monthly, and an individual may generally contribute 1/12 of the annual limit for each month of HSA-eligibility. Individuals who are </w:t>
      </w:r>
      <w:r w:rsidR="00786433" w:rsidRPr="4676EA04">
        <w:rPr>
          <w:color w:val="auto"/>
        </w:rPr>
        <w:t>HSA-</w:t>
      </w:r>
      <w:r w:rsidR="004D0430" w:rsidRPr="4676EA04">
        <w:rPr>
          <w:color w:val="auto"/>
        </w:rPr>
        <w:t>eligible for only a portion of the year</w:t>
      </w:r>
      <w:r w:rsidR="00786433" w:rsidRPr="4676EA04">
        <w:rPr>
          <w:color w:val="auto"/>
        </w:rPr>
        <w:t xml:space="preserve"> can generally contribute only a pro rata portion of the annual contribution limit.</w:t>
      </w:r>
    </w:p>
    <w:p w14:paraId="064C0718" w14:textId="0D94A871" w:rsidR="00EB411B" w:rsidRPr="00111091" w:rsidRDefault="00D47FE3" w:rsidP="00EC6F17">
      <w:pPr>
        <w:pStyle w:val="ListParagraph"/>
        <w:numPr>
          <w:ilvl w:val="0"/>
          <w:numId w:val="22"/>
        </w:numPr>
        <w:rPr>
          <w:color w:val="auto"/>
        </w:rPr>
      </w:pPr>
      <w:r w:rsidRPr="4676EA04">
        <w:rPr>
          <w:color w:val="auto"/>
          <w:u w:val="single"/>
        </w:rPr>
        <w:t>Administrative error</w:t>
      </w:r>
      <w:r w:rsidRPr="4676EA04">
        <w:rPr>
          <w:color w:val="auto"/>
        </w:rPr>
        <w:t xml:space="preserve">. </w:t>
      </w:r>
      <w:r w:rsidR="00EE3137" w:rsidRPr="4676EA04">
        <w:rPr>
          <w:color w:val="auto"/>
        </w:rPr>
        <w:t>For example, m</w:t>
      </w:r>
      <w:r w:rsidR="00076088" w:rsidRPr="4676EA04">
        <w:rPr>
          <w:color w:val="auto"/>
        </w:rPr>
        <w:t xml:space="preserve">istakes in </w:t>
      </w:r>
      <w:r w:rsidR="00CA065A" w:rsidRPr="4676EA04">
        <w:rPr>
          <w:color w:val="auto"/>
        </w:rPr>
        <w:t>payroll deduction</w:t>
      </w:r>
      <w:r w:rsidR="00EE3137" w:rsidRPr="4676EA04">
        <w:rPr>
          <w:color w:val="auto"/>
        </w:rPr>
        <w:t xml:space="preserve"> amounts</w:t>
      </w:r>
      <w:r w:rsidR="00CA065A" w:rsidRPr="4676EA04">
        <w:rPr>
          <w:color w:val="auto"/>
        </w:rPr>
        <w:t xml:space="preserve">, </w:t>
      </w:r>
      <w:r w:rsidR="006050DE" w:rsidRPr="4676EA04">
        <w:rPr>
          <w:color w:val="auto"/>
        </w:rPr>
        <w:t xml:space="preserve">incorrect tracking in a benefits administration system, </w:t>
      </w:r>
      <w:r w:rsidR="005A2463" w:rsidRPr="4676EA04">
        <w:rPr>
          <w:color w:val="auto"/>
        </w:rPr>
        <w:t>or delays in transfers of contributions to the HSA vendor.</w:t>
      </w:r>
    </w:p>
    <w:p w14:paraId="0EBD53FB" w14:textId="4A60CA3B" w:rsidR="00EC6F17" w:rsidRDefault="00D1698D" w:rsidP="025538E1">
      <w:pPr>
        <w:pStyle w:val="Heading2"/>
        <w:framePr w:wrap="around"/>
        <w:rPr>
          <w:rFonts w:ascii="Georgia" w:hAnsi="Georgia"/>
        </w:rPr>
      </w:pPr>
      <w:r w:rsidRPr="00346D33">
        <w:rPr>
          <w:rFonts w:ascii="Georgia" w:hAnsi="Georgia"/>
        </w:rPr>
        <w:t xml:space="preserve">How </w:t>
      </w:r>
      <w:r w:rsidR="00CC5D69" w:rsidRPr="00346D33">
        <w:rPr>
          <w:rFonts w:ascii="Georgia" w:hAnsi="Georgia"/>
        </w:rPr>
        <w:t xml:space="preserve">are Excess HSA Contributions </w:t>
      </w:r>
      <w:r w:rsidR="00593CE6" w:rsidRPr="00346D33">
        <w:rPr>
          <w:rFonts w:ascii="Georgia" w:hAnsi="Georgia"/>
        </w:rPr>
        <w:t>Corrected</w:t>
      </w:r>
      <w:r w:rsidR="00CC5D69" w:rsidRPr="00346D33">
        <w:rPr>
          <w:rFonts w:ascii="Georgia" w:hAnsi="Georgia"/>
        </w:rPr>
        <w:t>?</w:t>
      </w:r>
    </w:p>
    <w:p w14:paraId="5B104D64" w14:textId="77777777" w:rsidR="00C97D66" w:rsidRDefault="00C97D66" w:rsidP="025538E1">
      <w:pPr>
        <w:rPr>
          <w:color w:val="auto"/>
        </w:rPr>
      </w:pPr>
    </w:p>
    <w:p w14:paraId="703EB8F9" w14:textId="7B7BE515" w:rsidR="025538E1" w:rsidRDefault="00CC5D69" w:rsidP="025538E1">
      <w:pPr>
        <w:rPr>
          <w:color w:val="auto"/>
        </w:rPr>
      </w:pPr>
      <w:r w:rsidRPr="00CC5D69">
        <w:rPr>
          <w:color w:val="auto"/>
        </w:rPr>
        <w:t xml:space="preserve">There are two primary ways to correct an excess HSA contribution. </w:t>
      </w:r>
      <w:r>
        <w:rPr>
          <w:color w:val="auto"/>
        </w:rPr>
        <w:t xml:space="preserve"> </w:t>
      </w:r>
      <w:r w:rsidRPr="00CC5D69">
        <w:rPr>
          <w:color w:val="auto"/>
        </w:rPr>
        <w:t xml:space="preserve">The first is to remove the excess funds in the same year they were made, before the tax deadline. </w:t>
      </w:r>
      <w:r w:rsidR="00D51C38">
        <w:rPr>
          <w:color w:val="auto"/>
        </w:rPr>
        <w:t xml:space="preserve"> </w:t>
      </w:r>
      <w:r w:rsidRPr="00CC5D69">
        <w:rPr>
          <w:color w:val="auto"/>
        </w:rPr>
        <w:t xml:space="preserve">The second is to apply your excess contributions towards </w:t>
      </w:r>
      <w:r w:rsidR="00197ABA" w:rsidRPr="00CC5D69">
        <w:rPr>
          <w:color w:val="auto"/>
        </w:rPr>
        <w:t>next</w:t>
      </w:r>
      <w:r w:rsidRPr="00CC5D69">
        <w:rPr>
          <w:color w:val="auto"/>
        </w:rPr>
        <w:t xml:space="preserve"> year’s amount</w:t>
      </w:r>
      <w:r w:rsidR="009932E2">
        <w:rPr>
          <w:color w:val="auto"/>
        </w:rPr>
        <w:t>.</w:t>
      </w:r>
    </w:p>
    <w:p w14:paraId="13F2D8B8" w14:textId="38D2C4E3" w:rsidR="00163FC1" w:rsidRPr="00B400B0" w:rsidRDefault="009932E2" w:rsidP="00163FC1">
      <w:pPr>
        <w:rPr>
          <w:color w:val="auto"/>
        </w:rPr>
      </w:pPr>
      <w:r>
        <w:rPr>
          <w:b/>
          <w:bCs/>
          <w:color w:val="auto"/>
        </w:rPr>
        <w:t xml:space="preserve">Option 1: </w:t>
      </w:r>
      <w:r w:rsidR="00185F13">
        <w:rPr>
          <w:b/>
          <w:bCs/>
          <w:color w:val="auto"/>
        </w:rPr>
        <w:t xml:space="preserve"> </w:t>
      </w:r>
      <w:r w:rsidR="00450E56" w:rsidRPr="0006483C">
        <w:rPr>
          <w:b/>
          <w:bCs/>
          <w:color w:val="auto"/>
        </w:rPr>
        <w:t>Removing excess funds in the same year they were made</w:t>
      </w:r>
      <w:r w:rsidR="00450E56">
        <w:rPr>
          <w:color w:val="auto"/>
        </w:rPr>
        <w:t>:</w:t>
      </w:r>
    </w:p>
    <w:p w14:paraId="6670C356" w14:textId="01A41F17" w:rsidR="00163FC1" w:rsidRDefault="00163FC1" w:rsidP="00163FC1">
      <w:pPr>
        <w:pStyle w:val="ListParagraph"/>
        <w:numPr>
          <w:ilvl w:val="0"/>
          <w:numId w:val="20"/>
        </w:numPr>
        <w:rPr>
          <w:color w:val="auto"/>
        </w:rPr>
      </w:pPr>
      <w:r w:rsidRPr="00B400B0">
        <w:rPr>
          <w:color w:val="auto"/>
        </w:rPr>
        <w:t xml:space="preserve">Withdrawing the excess contribution(s) </w:t>
      </w:r>
      <w:r w:rsidR="00616D35">
        <w:rPr>
          <w:color w:val="auto"/>
        </w:rPr>
        <w:t xml:space="preserve">through a curative distribution </w:t>
      </w:r>
      <w:r w:rsidRPr="00B400B0">
        <w:rPr>
          <w:color w:val="auto"/>
        </w:rPr>
        <w:t>by the tax filing deadline of the year the contribution was made</w:t>
      </w:r>
      <w:r w:rsidR="00E434E1">
        <w:rPr>
          <w:color w:val="auto"/>
        </w:rPr>
        <w:t xml:space="preserve"> (e.g., April 1</w:t>
      </w:r>
      <w:r w:rsidR="009E129F">
        <w:rPr>
          <w:color w:val="auto"/>
        </w:rPr>
        <w:t>8</w:t>
      </w:r>
      <w:r w:rsidR="00E434E1">
        <w:rPr>
          <w:color w:val="auto"/>
        </w:rPr>
        <w:t>, 2023,</w:t>
      </w:r>
      <w:r w:rsidR="00487BC1">
        <w:rPr>
          <w:color w:val="auto"/>
        </w:rPr>
        <w:t xml:space="preserve"> </w:t>
      </w:r>
      <w:r w:rsidR="00E434E1">
        <w:rPr>
          <w:color w:val="auto"/>
        </w:rPr>
        <w:t>for 2022 contributions</w:t>
      </w:r>
      <w:r w:rsidR="00E434E1" w:rsidRPr="025538E1">
        <w:rPr>
          <w:color w:val="auto"/>
        </w:rPr>
        <w:t>)</w:t>
      </w:r>
      <w:r w:rsidR="05EE21F1" w:rsidRPr="025538E1">
        <w:rPr>
          <w:color w:val="auto"/>
        </w:rPr>
        <w:t>;</w:t>
      </w:r>
      <w:r w:rsidRPr="00B400B0">
        <w:rPr>
          <w:color w:val="auto"/>
        </w:rPr>
        <w:t xml:space="preserve"> and</w:t>
      </w:r>
    </w:p>
    <w:p w14:paraId="0A62C5AC" w14:textId="725C4D10" w:rsidR="025538E1" w:rsidRDefault="025538E1" w:rsidP="025538E1">
      <w:pPr>
        <w:rPr>
          <w:color w:val="auto"/>
        </w:rPr>
      </w:pPr>
    </w:p>
    <w:p w14:paraId="358644CD" w14:textId="77777777" w:rsidR="00163FC1" w:rsidRDefault="00163FC1" w:rsidP="00163FC1">
      <w:pPr>
        <w:pStyle w:val="ListParagraph"/>
        <w:rPr>
          <w:color w:val="auto"/>
        </w:rPr>
      </w:pPr>
    </w:p>
    <w:p w14:paraId="0A8A6274" w14:textId="77777777" w:rsidR="00EB411B" w:rsidRPr="00EB411B" w:rsidRDefault="00EB411B" w:rsidP="00EB411B">
      <w:pPr>
        <w:pStyle w:val="ListParagraph"/>
        <w:rPr>
          <w:color w:val="auto"/>
        </w:rPr>
      </w:pPr>
    </w:p>
    <w:p w14:paraId="0AC6C8FA" w14:textId="77777777" w:rsidR="00D60270" w:rsidRDefault="00D60270" w:rsidP="00D60270">
      <w:pPr>
        <w:pStyle w:val="ListParagraph"/>
        <w:rPr>
          <w:color w:val="auto"/>
          <w:lang w:bidi="ar-SA"/>
        </w:rPr>
      </w:pPr>
    </w:p>
    <w:p w14:paraId="0F02B8CD" w14:textId="31538080" w:rsidR="00163FC1" w:rsidRDefault="00163FC1" w:rsidP="00163FC1">
      <w:pPr>
        <w:pStyle w:val="ListParagraph"/>
        <w:numPr>
          <w:ilvl w:val="0"/>
          <w:numId w:val="20"/>
        </w:numPr>
        <w:rPr>
          <w:color w:val="auto"/>
          <w:lang w:bidi="ar-SA"/>
        </w:rPr>
      </w:pPr>
      <w:r w:rsidRPr="00B400B0">
        <w:rPr>
          <w:color w:val="auto"/>
        </w:rPr>
        <w:t>Withdrawing any income earned</w:t>
      </w:r>
      <w:r>
        <w:rPr>
          <w:color w:val="auto"/>
        </w:rPr>
        <w:t xml:space="preserve">, also referred to as attributable earnings, </w:t>
      </w:r>
      <w:r w:rsidRPr="00B400B0">
        <w:rPr>
          <w:color w:val="auto"/>
        </w:rPr>
        <w:t>on the excess contribution(s) and including it on your tax return for that year</w:t>
      </w:r>
      <w:r w:rsidR="00D767D2">
        <w:rPr>
          <w:color w:val="auto"/>
        </w:rPr>
        <w:t>.</w:t>
      </w:r>
    </w:p>
    <w:p w14:paraId="7BE836D1" w14:textId="77777777" w:rsidR="00783D0B" w:rsidRPr="00783D0B" w:rsidRDefault="00783D0B" w:rsidP="00783D0B">
      <w:pPr>
        <w:pStyle w:val="ListParagraph"/>
        <w:ind w:left="1440"/>
        <w:rPr>
          <w:rFonts w:cstheme="minorBidi"/>
        </w:rPr>
      </w:pPr>
    </w:p>
    <w:p w14:paraId="6D742887" w14:textId="118DADD2" w:rsidR="00B72F52" w:rsidRPr="00AF765C" w:rsidRDefault="00163FC1" w:rsidP="00AF765C">
      <w:pPr>
        <w:pStyle w:val="ListParagraph"/>
        <w:numPr>
          <w:ilvl w:val="1"/>
          <w:numId w:val="20"/>
        </w:numPr>
        <w:rPr>
          <w:rFonts w:cstheme="minorBidi"/>
        </w:rPr>
      </w:pPr>
      <w:r w:rsidRPr="025538E1">
        <w:rPr>
          <w:rFonts w:cstheme="minorBidi"/>
        </w:rPr>
        <w:t>In the case of pre-tax contributions, both the earnings and the contribution should be included in the employee’s gross income on the individual tax return.</w:t>
      </w:r>
      <w:r w:rsidR="00783D0B" w:rsidRPr="025538E1">
        <w:rPr>
          <w:rFonts w:cstheme="minorBidi"/>
        </w:rPr>
        <w:t xml:space="preserve"> </w:t>
      </w:r>
    </w:p>
    <w:p w14:paraId="5DC4453B" w14:textId="21FEF512" w:rsidR="00D60270" w:rsidRPr="00AF765C" w:rsidRDefault="00B72F52" w:rsidP="003B33BC">
      <w:pPr>
        <w:pStyle w:val="ListParagraph"/>
        <w:numPr>
          <w:ilvl w:val="1"/>
          <w:numId w:val="20"/>
        </w:numPr>
        <w:rPr>
          <w:rFonts w:cstheme="minorBidi"/>
        </w:rPr>
      </w:pPr>
      <w:r w:rsidRPr="025538E1">
        <w:rPr>
          <w:rFonts w:cstheme="minorBidi"/>
        </w:rPr>
        <w:t>In the case of post-tax contributions, the earnings attributable to the excess contribution would be taxable as income for the year in which the distribution is made, but the removed excess contribution would not be taxable as income.</w:t>
      </w:r>
    </w:p>
    <w:tbl>
      <w:tblPr>
        <w:tblStyle w:val="TableGrid1"/>
        <w:tblpPr w:leftFromText="180" w:rightFromText="180" w:vertAnchor="text" w:horzAnchor="margin" w:tblpY="4299"/>
        <w:tblW w:w="10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hemeFill="accent5" w:themeFillTint="33"/>
        <w:tblCellMar>
          <w:top w:w="360" w:type="dxa"/>
          <w:left w:w="360" w:type="dxa"/>
          <w:bottom w:w="360" w:type="dxa"/>
          <w:right w:w="360" w:type="dxa"/>
        </w:tblCellMar>
        <w:tblLook w:val="04A0" w:firstRow="1" w:lastRow="0" w:firstColumn="1" w:lastColumn="0" w:noHBand="0" w:noVBand="1"/>
      </w:tblPr>
      <w:tblGrid>
        <w:gridCol w:w="10575"/>
      </w:tblGrid>
      <w:tr w:rsidR="00C370F6" w:rsidRPr="00A75476" w14:paraId="299FD393" w14:textId="77777777" w:rsidTr="00C370F6">
        <w:trPr>
          <w:trHeight w:val="458"/>
        </w:trPr>
        <w:tc>
          <w:tcPr>
            <w:tcW w:w="10575" w:type="dxa"/>
            <w:shd w:val="clear" w:color="auto" w:fill="DEEAF6" w:themeFill="accent5" w:themeFillTint="33"/>
            <w:vAlign w:val="center"/>
          </w:tcPr>
          <w:p w14:paraId="4ACE4580" w14:textId="77777777" w:rsidR="00C370F6" w:rsidRPr="00B343CE" w:rsidRDefault="00C370F6" w:rsidP="00C370F6">
            <w:pPr>
              <w:pStyle w:val="Heading3"/>
              <w:framePr w:hSpace="0" w:wrap="auto" w:vAnchor="margin" w:hAnchor="text" w:xAlign="left" w:yAlign="inline"/>
              <w:outlineLvl w:val="2"/>
              <w:rPr>
                <w:rFonts w:ascii="Georgia" w:eastAsia="Georgia" w:hAnsi="Georgia" w:cs="Georgia"/>
              </w:rPr>
            </w:pPr>
            <w:r w:rsidRPr="218FD735">
              <w:rPr>
                <w:rFonts w:ascii="Georgia" w:eastAsia="Georgia" w:hAnsi="Georgia" w:cs="Georgia"/>
              </w:rPr>
              <w:t>Calculating Attributable Earnings</w:t>
            </w:r>
          </w:p>
          <w:p w14:paraId="664D2B8B" w14:textId="77777777" w:rsidR="00C370F6" w:rsidRDefault="00C370F6" w:rsidP="00C370F6">
            <w:pPr>
              <w:rPr>
                <w:rFonts w:eastAsia="Georgia" w:cs="Georgia"/>
              </w:rPr>
            </w:pPr>
            <w:r w:rsidRPr="218FD735">
              <w:rPr>
                <w:rFonts w:eastAsia="Georgia" w:cs="Georgia"/>
              </w:rPr>
              <w:t>Net income = Excess Contribution × ((Adjusted Closing Balance − Adjusted Opening Balance) ÷ Adjusted Opening Balance))</w:t>
            </w:r>
          </w:p>
          <w:p w14:paraId="398C70DA" w14:textId="77777777" w:rsidR="00C370F6" w:rsidRDefault="00C370F6" w:rsidP="00C370F6">
            <w:pPr>
              <w:pStyle w:val="ListParagraph"/>
              <w:numPr>
                <w:ilvl w:val="0"/>
                <w:numId w:val="21"/>
              </w:numPr>
              <w:rPr>
                <w:rFonts w:eastAsia="Georgia" w:cs="Georgia"/>
              </w:rPr>
            </w:pPr>
            <w:r w:rsidRPr="218FD735">
              <w:rPr>
                <w:rFonts w:eastAsia="Georgia" w:cs="Georgia"/>
              </w:rPr>
              <w:t>The “Adjusted Opening Balance” is the sum of the excess contribution and the balance immediately before that excess contribution was made (i.e., the balance at the start of the computation period).</w:t>
            </w:r>
          </w:p>
          <w:p w14:paraId="5BD2309D" w14:textId="77777777" w:rsidR="00C370F6" w:rsidRPr="00B343CE" w:rsidRDefault="00C370F6" w:rsidP="00C370F6">
            <w:pPr>
              <w:pStyle w:val="ListParagraph"/>
              <w:numPr>
                <w:ilvl w:val="0"/>
                <w:numId w:val="21"/>
              </w:numPr>
              <w:rPr>
                <w:rFonts w:eastAsia="Georgia" w:cs="Georgia"/>
              </w:rPr>
            </w:pPr>
            <w:r w:rsidRPr="218FD735">
              <w:rPr>
                <w:rFonts w:eastAsia="Georgia" w:cs="Georgia"/>
              </w:rPr>
              <w:t>The “Adjusted Closing Balance” is the balance immediately prior to distribution of the excess contribution (i.e., the balance at the end of the computation period), plus any distributions or transfers made in the interim (i.e., during the computation period).</w:t>
            </w:r>
          </w:p>
        </w:tc>
      </w:tr>
    </w:tbl>
    <w:p w14:paraId="24EFF83C" w14:textId="33EEB376" w:rsidR="003B33BC" w:rsidRDefault="003B33BC" w:rsidP="003B33BC">
      <w:r>
        <w:t xml:space="preserve">An HSA account holder with excess contributions should contact their HSA trustee or custodian to request a curative distribution of the excess contributions. </w:t>
      </w:r>
      <w:r w:rsidR="0009632A">
        <w:t xml:space="preserve"> </w:t>
      </w:r>
      <w:r>
        <w:t xml:space="preserve">The trustee/custodian will report the distribution on Form 1099-SA, coded as an excess contribution.  </w:t>
      </w:r>
      <w:r w:rsidR="00B45303">
        <w:t xml:space="preserve">The total distribution (excess and </w:t>
      </w:r>
      <w:r w:rsidR="00605C1B">
        <w:t>attributable earnings</w:t>
      </w:r>
      <w:r w:rsidR="00B45303">
        <w:t xml:space="preserve">) is reported in Box 1, Gross </w:t>
      </w:r>
      <w:r w:rsidR="00610CAF">
        <w:t>d</w:t>
      </w:r>
      <w:r w:rsidR="00B45303">
        <w:t xml:space="preserve">istribution, on Form 1099-SA and only the </w:t>
      </w:r>
      <w:r w:rsidR="00605C1B">
        <w:t xml:space="preserve">attributable earnings are </w:t>
      </w:r>
      <w:r w:rsidR="00B45303">
        <w:t xml:space="preserve">reported in Box 2, Earnings on excess contribution. </w:t>
      </w:r>
      <w:r w:rsidR="005D0A79">
        <w:t xml:space="preserve"> </w:t>
      </w:r>
      <w:r w:rsidR="00B45303">
        <w:t xml:space="preserve">To indicate that the distribution is the removal of an excess contribution, code 2, Excess contributions, must be entered in Box 3. </w:t>
      </w:r>
      <w:r w:rsidR="005D0A79">
        <w:t xml:space="preserve"> </w:t>
      </w:r>
      <w:r w:rsidR="00B45303">
        <w:t xml:space="preserve">The Form 1099-SA instructions indicate that HSA owners must include the </w:t>
      </w:r>
      <w:r w:rsidR="000F49AE">
        <w:t>attributable earnings</w:t>
      </w:r>
      <w:r w:rsidR="00B45303">
        <w:t xml:space="preserve"> distributed with the excess as income for the year the distribution is received.</w:t>
      </w:r>
      <w:r w:rsidR="000F49AE">
        <w:t xml:space="preserve">  </w:t>
      </w:r>
      <w:r>
        <w:t xml:space="preserve">If insufficient funds remain in the individual’s HSA to accomplish the distribution (because of prior distributions), the account holder can ask the trustee/custodian to report earlier distributions as including a distribution of the excess contribution, plus earnings. </w:t>
      </w:r>
      <w:r w:rsidR="0009632A">
        <w:t xml:space="preserve"> </w:t>
      </w:r>
      <w:r>
        <w:t xml:space="preserve">The employer should include the excess contributions as the employee's wages on the W-2; but if that doesn’t happen, the HSA account holder should report this amount as "other income" on </w:t>
      </w:r>
      <w:r w:rsidR="001B290E">
        <w:t>their</w:t>
      </w:r>
      <w:r>
        <w:t xml:space="preserve"> federal income tax return.  </w:t>
      </w:r>
    </w:p>
    <w:p w14:paraId="291F3E5E" w14:textId="77777777" w:rsidR="00C370F6" w:rsidRDefault="00C370F6" w:rsidP="003B33BC"/>
    <w:p w14:paraId="74D6D80D" w14:textId="77777777" w:rsidR="00C370F6" w:rsidRPr="003B33BC" w:rsidRDefault="00C370F6" w:rsidP="003B33BC"/>
    <w:p w14:paraId="3A8BD0D0" w14:textId="77777777" w:rsidR="00C370F6" w:rsidRDefault="00C370F6" w:rsidP="00AC4963"/>
    <w:p w14:paraId="1F4F1BE3" w14:textId="68495D60" w:rsidR="006F1C84" w:rsidRDefault="00AC4963" w:rsidP="003C3879">
      <w:r>
        <w:t>The HSA custodian (vendor) will likely help with determining the attributable earnings</w:t>
      </w:r>
      <w:r w:rsidR="00680261">
        <w:t xml:space="preserve">.  </w:t>
      </w:r>
      <w:r w:rsidR="00784A7A">
        <w:t xml:space="preserve">The formula </w:t>
      </w:r>
      <w:r w:rsidR="007848C8">
        <w:t xml:space="preserve">for calculating net income (i.e., earnings) </w:t>
      </w:r>
      <w:r w:rsidR="000021C5">
        <w:t>attributable</w:t>
      </w:r>
      <w:r w:rsidR="007848C8">
        <w:t xml:space="preserve"> to excess contributions is the same formula established for IRAs under </w:t>
      </w:r>
      <w:r w:rsidR="007D0F3F">
        <w:t xml:space="preserve">Treas. Reg. </w:t>
      </w:r>
      <w:r w:rsidR="00907518">
        <w:rPr>
          <w:rFonts w:ascii="Times New Roman" w:hAnsi="Times New Roman"/>
        </w:rPr>
        <w:t>§</w:t>
      </w:r>
      <w:r w:rsidR="00520C5C">
        <w:t xml:space="preserve">1.408-11.  </w:t>
      </w:r>
    </w:p>
    <w:p w14:paraId="2CE6DEFE" w14:textId="2D65392C" w:rsidR="003C3879" w:rsidRPr="003C3879" w:rsidRDefault="00185F13" w:rsidP="003C3879">
      <w:pPr>
        <w:rPr>
          <w:b/>
          <w:bCs/>
          <w:color w:val="auto"/>
        </w:rPr>
      </w:pPr>
      <w:r>
        <w:rPr>
          <w:b/>
          <w:bCs/>
          <w:color w:val="auto"/>
        </w:rPr>
        <w:t xml:space="preserve">Option 2: </w:t>
      </w:r>
      <w:r w:rsidR="003C3879" w:rsidRPr="003C3879">
        <w:rPr>
          <w:b/>
          <w:bCs/>
          <w:color w:val="auto"/>
        </w:rPr>
        <w:t xml:space="preserve">Current-Year Deduction for Undistributed Excess Contributions </w:t>
      </w:r>
      <w:r w:rsidR="00B72F52" w:rsidRPr="003C3879">
        <w:rPr>
          <w:b/>
          <w:bCs/>
          <w:color w:val="auto"/>
        </w:rPr>
        <w:t>from</w:t>
      </w:r>
      <w:r w:rsidR="003C3879" w:rsidRPr="003C3879">
        <w:rPr>
          <w:b/>
          <w:bCs/>
          <w:color w:val="auto"/>
        </w:rPr>
        <w:t xml:space="preserve"> Previous Year.</w:t>
      </w:r>
    </w:p>
    <w:p w14:paraId="71084FF4" w14:textId="6E72D6C1" w:rsidR="003C3879" w:rsidRDefault="00A22915" w:rsidP="00A75476">
      <w:r>
        <w:t>T</w:t>
      </w:r>
      <w:r w:rsidR="003C3879">
        <w:t>he Instructions for Form 8889 state that an HSA-eligible individual may be able to deduct excess contributions for previous years that remain in the individual's HSA.  The current-year deduction is limited to the lesser of (1) the individual's maximum HSA contribution limit for the current year, minus any amounts contributed to his or her HSA for that year; or (2) the total excess contributions in the individual's HSA at the beginning of the current year.  Any excess contributions remaining in the individual's HSA at the end of the taxable year (i.e., the undistributed excess contributions) would be subject to the 6% excise tax on excess contributions.</w:t>
      </w:r>
    </w:p>
    <w:p w14:paraId="57FAF507" w14:textId="72519548" w:rsidR="63B0B9B7" w:rsidRDefault="00413626" w:rsidP="63B0B9B7">
      <w:r>
        <w:t xml:space="preserve">This option is </w:t>
      </w:r>
      <w:r w:rsidR="002D1784">
        <w:t xml:space="preserve">a bit </w:t>
      </w:r>
      <w:r>
        <w:t>more complicated</w:t>
      </w:r>
      <w:r w:rsidR="00A22915">
        <w:t>, especially if there are earnings from any of the excess contributions</w:t>
      </w:r>
      <w:r w:rsidR="00F93BBD">
        <w:t xml:space="preserve"> </w:t>
      </w:r>
      <w:r>
        <w:t xml:space="preserve">and requires the use of Form 5329 to report the deduction.  It is </w:t>
      </w:r>
      <w:r w:rsidR="008C08CF">
        <w:t>recommended</w:t>
      </w:r>
      <w:r>
        <w:t xml:space="preserve"> to consult with </w:t>
      </w:r>
      <w:r w:rsidR="002D1784">
        <w:t xml:space="preserve">your HSA </w:t>
      </w:r>
      <w:r w:rsidR="008C08CF">
        <w:t xml:space="preserve">administrator and/or tax advisor. </w:t>
      </w:r>
    </w:p>
    <w:tbl>
      <w:tblPr>
        <w:tblStyle w:val="TableGrid1"/>
        <w:tblpPr w:leftFromText="180" w:rightFromText="180" w:vertAnchor="text" w:horzAnchor="margin" w:tblpY="143"/>
        <w:tblW w:w="106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hemeFill="accent5" w:themeFillTint="33"/>
        <w:tblCellMar>
          <w:top w:w="360" w:type="dxa"/>
          <w:left w:w="360" w:type="dxa"/>
          <w:bottom w:w="360" w:type="dxa"/>
          <w:right w:w="360" w:type="dxa"/>
        </w:tblCellMar>
        <w:tblLook w:val="04A0" w:firstRow="1" w:lastRow="0" w:firstColumn="1" w:lastColumn="0" w:noHBand="0" w:noVBand="1"/>
      </w:tblPr>
      <w:tblGrid>
        <w:gridCol w:w="10615"/>
      </w:tblGrid>
      <w:tr w:rsidR="000C0275" w:rsidRPr="00A75476" w14:paraId="3EFAED36" w14:textId="77777777" w:rsidTr="000C0275">
        <w:trPr>
          <w:trHeight w:val="458"/>
        </w:trPr>
        <w:tc>
          <w:tcPr>
            <w:tcW w:w="10615" w:type="dxa"/>
            <w:shd w:val="clear" w:color="auto" w:fill="DEEAF6" w:themeFill="accent5" w:themeFillTint="33"/>
            <w:vAlign w:val="center"/>
          </w:tcPr>
          <w:p w14:paraId="0343356B" w14:textId="7B367B67" w:rsidR="00A1678C" w:rsidRDefault="00A1678C" w:rsidP="000C0275">
            <w:pPr>
              <w:rPr>
                <w:rFonts w:eastAsia="Georgia" w:cs="Georgia"/>
                <w:b/>
                <w:color w:val="142DFF"/>
              </w:rPr>
            </w:pPr>
            <w:r w:rsidRPr="63B0B9B7">
              <w:rPr>
                <w:rFonts w:eastAsia="Georgia" w:cs="Georgia"/>
                <w:b/>
                <w:color w:val="142DFF"/>
              </w:rPr>
              <w:t xml:space="preserve">Example: Current-Year Deduction for Undistributed </w:t>
            </w:r>
            <w:r w:rsidR="009932E2" w:rsidRPr="63B0B9B7">
              <w:rPr>
                <w:rFonts w:eastAsia="Georgia" w:cs="Georgia"/>
                <w:b/>
                <w:color w:val="142DFF"/>
              </w:rPr>
              <w:t>Excess Contributions</w:t>
            </w:r>
            <w:r w:rsidRPr="63B0B9B7">
              <w:rPr>
                <w:rFonts w:eastAsia="Georgia" w:cs="Georgia"/>
                <w:b/>
                <w:color w:val="142DFF"/>
              </w:rPr>
              <w:t xml:space="preserve"> </w:t>
            </w:r>
            <w:r w:rsidR="008C08CF" w:rsidRPr="63B0B9B7">
              <w:rPr>
                <w:rFonts w:eastAsia="Georgia" w:cs="Georgia"/>
                <w:b/>
                <w:color w:val="142DFF"/>
              </w:rPr>
              <w:t>from</w:t>
            </w:r>
            <w:r w:rsidRPr="63B0B9B7">
              <w:rPr>
                <w:rFonts w:eastAsia="Georgia" w:cs="Georgia"/>
                <w:b/>
                <w:color w:val="142DFF"/>
              </w:rPr>
              <w:t xml:space="preserve"> Previous Year.</w:t>
            </w:r>
          </w:p>
          <w:p w14:paraId="210B063C" w14:textId="34DDE961" w:rsidR="000C0275" w:rsidRPr="00B343CE" w:rsidRDefault="00A1678C" w:rsidP="000C0275">
            <w:pPr>
              <w:rPr>
                <w:rFonts w:eastAsia="Georgia" w:cs="Georgia"/>
              </w:rPr>
            </w:pPr>
            <w:r w:rsidRPr="63B0B9B7">
              <w:rPr>
                <w:rFonts w:eastAsia="Georgia" w:cs="Georgia"/>
              </w:rPr>
              <w:t xml:space="preserve">HSA-eligible individual, </w:t>
            </w:r>
            <w:r w:rsidR="00907C0C" w:rsidRPr="63B0B9B7">
              <w:rPr>
                <w:rFonts w:eastAsia="Georgia" w:cs="Georgia"/>
              </w:rPr>
              <w:t xml:space="preserve">Beth, age 45, </w:t>
            </w:r>
            <w:r w:rsidRPr="63B0B9B7">
              <w:rPr>
                <w:rFonts w:eastAsia="Georgia" w:cs="Georgia"/>
              </w:rPr>
              <w:t>had self-only HDHP coverage for all of 202</w:t>
            </w:r>
            <w:r w:rsidR="00907C0C" w:rsidRPr="63B0B9B7">
              <w:rPr>
                <w:rFonts w:eastAsia="Georgia" w:cs="Georgia"/>
              </w:rPr>
              <w:t>1</w:t>
            </w:r>
            <w:r w:rsidRPr="63B0B9B7">
              <w:rPr>
                <w:rFonts w:eastAsia="Georgia" w:cs="Georgia"/>
              </w:rPr>
              <w:t xml:space="preserve">. </w:t>
            </w:r>
            <w:r w:rsidR="00A318FB" w:rsidRPr="63B0B9B7">
              <w:rPr>
                <w:rFonts w:eastAsia="Georgia" w:cs="Georgia"/>
              </w:rPr>
              <w:t xml:space="preserve"> </w:t>
            </w:r>
            <w:r w:rsidRPr="63B0B9B7">
              <w:rPr>
                <w:rFonts w:eastAsia="Georgia" w:cs="Georgia"/>
              </w:rPr>
              <w:t xml:space="preserve">The maximum </w:t>
            </w:r>
            <w:r w:rsidR="00A318FB" w:rsidRPr="63B0B9B7">
              <w:rPr>
                <w:rFonts w:eastAsia="Georgia" w:cs="Georgia"/>
              </w:rPr>
              <w:t xml:space="preserve">HSA </w:t>
            </w:r>
            <w:r w:rsidRPr="63B0B9B7">
              <w:rPr>
                <w:rFonts w:eastAsia="Georgia" w:cs="Georgia"/>
              </w:rPr>
              <w:t xml:space="preserve">contributions that could be made to </w:t>
            </w:r>
            <w:r w:rsidR="00A318FB" w:rsidRPr="63B0B9B7">
              <w:rPr>
                <w:rFonts w:eastAsia="Georgia" w:cs="Georgia"/>
              </w:rPr>
              <w:t>Beth</w:t>
            </w:r>
            <w:r w:rsidRPr="63B0B9B7">
              <w:rPr>
                <w:rFonts w:eastAsia="Georgia" w:cs="Georgia"/>
              </w:rPr>
              <w:t>'s HSA for 202</w:t>
            </w:r>
            <w:r w:rsidR="00A318FB" w:rsidRPr="63B0B9B7">
              <w:rPr>
                <w:rFonts w:eastAsia="Georgia" w:cs="Georgia"/>
              </w:rPr>
              <w:t>1</w:t>
            </w:r>
            <w:r w:rsidRPr="63B0B9B7">
              <w:rPr>
                <w:rFonts w:eastAsia="Georgia" w:cs="Georgia"/>
              </w:rPr>
              <w:t xml:space="preserve"> is $3,</w:t>
            </w:r>
            <w:r w:rsidR="004C2202" w:rsidRPr="63B0B9B7">
              <w:rPr>
                <w:rFonts w:eastAsia="Georgia" w:cs="Georgia"/>
              </w:rPr>
              <w:t>600</w:t>
            </w:r>
            <w:r w:rsidRPr="63B0B9B7">
              <w:rPr>
                <w:rFonts w:eastAsia="Georgia" w:cs="Georgia"/>
              </w:rPr>
              <w:t xml:space="preserve">. </w:t>
            </w:r>
            <w:r w:rsidR="004C295A" w:rsidRPr="63B0B9B7">
              <w:rPr>
                <w:rFonts w:eastAsia="Georgia" w:cs="Georgia"/>
              </w:rPr>
              <w:t xml:space="preserve"> Beth unintentionally </w:t>
            </w:r>
            <w:r w:rsidRPr="63B0B9B7">
              <w:rPr>
                <w:rFonts w:eastAsia="Georgia" w:cs="Georgia"/>
              </w:rPr>
              <w:t>contributed $4,</w:t>
            </w:r>
            <w:r w:rsidR="004C295A" w:rsidRPr="63B0B9B7">
              <w:rPr>
                <w:rFonts w:eastAsia="Georgia" w:cs="Georgia"/>
              </w:rPr>
              <w:t>600</w:t>
            </w:r>
            <w:r w:rsidRPr="63B0B9B7">
              <w:rPr>
                <w:rFonts w:eastAsia="Georgia" w:cs="Georgia"/>
              </w:rPr>
              <w:t xml:space="preserve"> to h</w:t>
            </w:r>
            <w:r w:rsidR="004C295A" w:rsidRPr="63B0B9B7">
              <w:rPr>
                <w:rFonts w:eastAsia="Georgia" w:cs="Georgia"/>
              </w:rPr>
              <w:t>er</w:t>
            </w:r>
            <w:r w:rsidRPr="63B0B9B7">
              <w:rPr>
                <w:rFonts w:eastAsia="Georgia" w:cs="Georgia"/>
              </w:rPr>
              <w:t xml:space="preserve"> HSA for 202</w:t>
            </w:r>
            <w:r w:rsidR="004C295A" w:rsidRPr="63B0B9B7">
              <w:rPr>
                <w:rFonts w:eastAsia="Georgia" w:cs="Georgia"/>
              </w:rPr>
              <w:t>1</w:t>
            </w:r>
            <w:r w:rsidRPr="63B0B9B7">
              <w:rPr>
                <w:rFonts w:eastAsia="Georgia" w:cs="Georgia"/>
              </w:rPr>
              <w:t xml:space="preserve">, resulting in a $1,000 excess contribution, which remains in </w:t>
            </w:r>
            <w:r w:rsidR="0070263C" w:rsidRPr="63B0B9B7">
              <w:rPr>
                <w:rFonts w:eastAsia="Georgia" w:cs="Georgia"/>
              </w:rPr>
              <w:t>her</w:t>
            </w:r>
            <w:r w:rsidRPr="63B0B9B7">
              <w:rPr>
                <w:rFonts w:eastAsia="Georgia" w:cs="Georgia"/>
              </w:rPr>
              <w:t xml:space="preserve"> HSA. </w:t>
            </w:r>
            <w:r w:rsidR="0070263C" w:rsidRPr="63B0B9B7">
              <w:rPr>
                <w:rFonts w:eastAsia="Georgia" w:cs="Georgia"/>
              </w:rPr>
              <w:t xml:space="preserve"> Beth</w:t>
            </w:r>
            <w:r w:rsidRPr="63B0B9B7">
              <w:rPr>
                <w:rFonts w:eastAsia="Georgia" w:cs="Georgia"/>
              </w:rPr>
              <w:t xml:space="preserve"> also had self-only HDHP coverage for all of 202</w:t>
            </w:r>
            <w:r w:rsidR="0070263C" w:rsidRPr="63B0B9B7">
              <w:rPr>
                <w:rFonts w:eastAsia="Georgia" w:cs="Georgia"/>
              </w:rPr>
              <w:t>2</w:t>
            </w:r>
            <w:r w:rsidR="00820AED" w:rsidRPr="63B0B9B7">
              <w:rPr>
                <w:rFonts w:eastAsia="Georgia" w:cs="Georgia"/>
              </w:rPr>
              <w:t xml:space="preserve"> and t</w:t>
            </w:r>
            <w:r w:rsidRPr="63B0B9B7">
              <w:rPr>
                <w:rFonts w:eastAsia="Georgia" w:cs="Georgia"/>
              </w:rPr>
              <w:t>he maximum amount that could be contributed to h</w:t>
            </w:r>
            <w:r w:rsidR="00820AED" w:rsidRPr="63B0B9B7">
              <w:rPr>
                <w:rFonts w:eastAsia="Georgia" w:cs="Georgia"/>
              </w:rPr>
              <w:t>er</w:t>
            </w:r>
            <w:r w:rsidRPr="63B0B9B7">
              <w:rPr>
                <w:rFonts w:eastAsia="Georgia" w:cs="Georgia"/>
              </w:rPr>
              <w:t xml:space="preserve"> HSA for 202</w:t>
            </w:r>
            <w:r w:rsidR="00820AED" w:rsidRPr="63B0B9B7">
              <w:rPr>
                <w:rFonts w:eastAsia="Georgia" w:cs="Georgia"/>
              </w:rPr>
              <w:t>2</w:t>
            </w:r>
            <w:r w:rsidRPr="63B0B9B7">
              <w:rPr>
                <w:rFonts w:eastAsia="Georgia" w:cs="Georgia"/>
              </w:rPr>
              <w:t xml:space="preserve"> is $3,6</w:t>
            </w:r>
            <w:r w:rsidR="00C633D0" w:rsidRPr="63B0B9B7">
              <w:rPr>
                <w:rFonts w:eastAsia="Georgia" w:cs="Georgia"/>
              </w:rPr>
              <w:t>5</w:t>
            </w:r>
            <w:r w:rsidRPr="63B0B9B7">
              <w:rPr>
                <w:rFonts w:eastAsia="Georgia" w:cs="Georgia"/>
              </w:rPr>
              <w:t xml:space="preserve">0. </w:t>
            </w:r>
            <w:r w:rsidR="00C633D0" w:rsidRPr="63B0B9B7">
              <w:rPr>
                <w:rFonts w:eastAsia="Georgia" w:cs="Georgia"/>
              </w:rPr>
              <w:t xml:space="preserve"> </w:t>
            </w:r>
            <w:r w:rsidR="00E837B6" w:rsidRPr="63B0B9B7">
              <w:rPr>
                <w:rFonts w:eastAsia="Georgia" w:cs="Georgia"/>
              </w:rPr>
              <w:t xml:space="preserve">However, </w:t>
            </w:r>
            <w:r w:rsidR="00C633D0" w:rsidRPr="63B0B9B7">
              <w:rPr>
                <w:rFonts w:eastAsia="Georgia" w:cs="Georgia"/>
              </w:rPr>
              <w:t xml:space="preserve">Beth </w:t>
            </w:r>
            <w:r w:rsidR="00E837B6" w:rsidRPr="63B0B9B7">
              <w:rPr>
                <w:rFonts w:eastAsia="Georgia" w:cs="Georgia"/>
              </w:rPr>
              <w:t xml:space="preserve">only </w:t>
            </w:r>
            <w:r w:rsidRPr="63B0B9B7">
              <w:rPr>
                <w:rFonts w:eastAsia="Georgia" w:cs="Georgia"/>
              </w:rPr>
              <w:t>contributed $2,</w:t>
            </w:r>
            <w:r w:rsidR="00C633D0" w:rsidRPr="63B0B9B7">
              <w:rPr>
                <w:rFonts w:eastAsia="Georgia" w:cs="Georgia"/>
              </w:rPr>
              <w:t>700</w:t>
            </w:r>
            <w:r w:rsidRPr="63B0B9B7">
              <w:rPr>
                <w:rFonts w:eastAsia="Georgia" w:cs="Georgia"/>
              </w:rPr>
              <w:t xml:space="preserve"> to h</w:t>
            </w:r>
            <w:r w:rsidR="00C633D0" w:rsidRPr="63B0B9B7">
              <w:rPr>
                <w:rFonts w:eastAsia="Georgia" w:cs="Georgia"/>
              </w:rPr>
              <w:t>er</w:t>
            </w:r>
            <w:r w:rsidRPr="63B0B9B7">
              <w:rPr>
                <w:rFonts w:eastAsia="Georgia" w:cs="Georgia"/>
              </w:rPr>
              <w:t xml:space="preserve"> HSA for 202</w:t>
            </w:r>
            <w:r w:rsidR="00C633D0" w:rsidRPr="63B0B9B7">
              <w:rPr>
                <w:rFonts w:eastAsia="Georgia" w:cs="Georgia"/>
              </w:rPr>
              <w:t>2</w:t>
            </w:r>
            <w:r w:rsidRPr="63B0B9B7">
              <w:rPr>
                <w:rFonts w:eastAsia="Georgia" w:cs="Georgia"/>
              </w:rPr>
              <w:t>.</w:t>
            </w:r>
            <w:r w:rsidR="00C633D0" w:rsidRPr="63B0B9B7">
              <w:rPr>
                <w:rFonts w:eastAsia="Georgia" w:cs="Georgia"/>
              </w:rPr>
              <w:t xml:space="preserve"> </w:t>
            </w:r>
            <w:r w:rsidRPr="63B0B9B7">
              <w:rPr>
                <w:rFonts w:eastAsia="Georgia" w:cs="Georgia"/>
              </w:rPr>
              <w:t xml:space="preserve"> </w:t>
            </w:r>
            <w:r w:rsidR="003A7902" w:rsidRPr="63B0B9B7">
              <w:rPr>
                <w:rFonts w:eastAsia="Georgia" w:cs="Georgia"/>
              </w:rPr>
              <w:t>So, f</w:t>
            </w:r>
            <w:r w:rsidRPr="63B0B9B7">
              <w:rPr>
                <w:rFonts w:eastAsia="Georgia" w:cs="Georgia"/>
              </w:rPr>
              <w:t>or the 202</w:t>
            </w:r>
            <w:r w:rsidR="00C633D0" w:rsidRPr="63B0B9B7">
              <w:rPr>
                <w:rFonts w:eastAsia="Georgia" w:cs="Georgia"/>
              </w:rPr>
              <w:t>2</w:t>
            </w:r>
            <w:r w:rsidRPr="63B0B9B7">
              <w:rPr>
                <w:rFonts w:eastAsia="Georgia" w:cs="Georgia"/>
              </w:rPr>
              <w:t xml:space="preserve"> taxable year, </w:t>
            </w:r>
            <w:r w:rsidR="00C633D0" w:rsidRPr="63B0B9B7">
              <w:rPr>
                <w:rFonts w:eastAsia="Georgia" w:cs="Georgia"/>
              </w:rPr>
              <w:t>Beth</w:t>
            </w:r>
            <w:r w:rsidRPr="63B0B9B7">
              <w:rPr>
                <w:rFonts w:eastAsia="Georgia" w:cs="Georgia"/>
              </w:rPr>
              <w:t xml:space="preserve"> may deduct $9</w:t>
            </w:r>
            <w:r w:rsidR="00106748" w:rsidRPr="63B0B9B7">
              <w:rPr>
                <w:rFonts w:eastAsia="Georgia" w:cs="Georgia"/>
              </w:rPr>
              <w:t>0</w:t>
            </w:r>
            <w:r w:rsidRPr="63B0B9B7">
              <w:rPr>
                <w:rFonts w:eastAsia="Georgia" w:cs="Georgia"/>
              </w:rPr>
              <w:t>0 of the prior year's excess contribution, which is the lesser of (1) $9</w:t>
            </w:r>
            <w:r w:rsidR="00106748" w:rsidRPr="63B0B9B7">
              <w:rPr>
                <w:rFonts w:eastAsia="Georgia" w:cs="Georgia"/>
              </w:rPr>
              <w:t>0</w:t>
            </w:r>
            <w:r w:rsidRPr="63B0B9B7">
              <w:rPr>
                <w:rFonts w:eastAsia="Georgia" w:cs="Georgia"/>
              </w:rPr>
              <w:t>0 (i.e., the difference between the $3,600 contribution limit for 202</w:t>
            </w:r>
            <w:r w:rsidR="000120B1" w:rsidRPr="63B0B9B7">
              <w:rPr>
                <w:rFonts w:eastAsia="Georgia" w:cs="Georgia"/>
              </w:rPr>
              <w:t>1</w:t>
            </w:r>
            <w:r w:rsidRPr="63B0B9B7">
              <w:rPr>
                <w:rFonts w:eastAsia="Georgia" w:cs="Georgia"/>
              </w:rPr>
              <w:t xml:space="preserve"> and h</w:t>
            </w:r>
            <w:r w:rsidR="000120B1" w:rsidRPr="63B0B9B7">
              <w:rPr>
                <w:rFonts w:eastAsia="Georgia" w:cs="Georgia"/>
              </w:rPr>
              <w:t>er</w:t>
            </w:r>
            <w:r w:rsidRPr="63B0B9B7">
              <w:rPr>
                <w:rFonts w:eastAsia="Georgia" w:cs="Georgia"/>
              </w:rPr>
              <w:t xml:space="preserve"> $2</w:t>
            </w:r>
            <w:r w:rsidR="000120B1" w:rsidRPr="63B0B9B7">
              <w:rPr>
                <w:rFonts w:eastAsia="Georgia" w:cs="Georgia"/>
              </w:rPr>
              <w:t>,700</w:t>
            </w:r>
            <w:r w:rsidRPr="63B0B9B7">
              <w:rPr>
                <w:rFonts w:eastAsia="Georgia" w:cs="Georgia"/>
              </w:rPr>
              <w:t xml:space="preserve"> contribution for 202</w:t>
            </w:r>
            <w:r w:rsidR="000120B1" w:rsidRPr="63B0B9B7">
              <w:rPr>
                <w:rFonts w:eastAsia="Georgia" w:cs="Georgia"/>
              </w:rPr>
              <w:t>2</w:t>
            </w:r>
            <w:r w:rsidRPr="63B0B9B7">
              <w:rPr>
                <w:rFonts w:eastAsia="Georgia" w:cs="Georgia"/>
              </w:rPr>
              <w:t>); or (2) the $1,000 excess contributions remaining in h</w:t>
            </w:r>
            <w:r w:rsidR="000120B1" w:rsidRPr="63B0B9B7">
              <w:rPr>
                <w:rFonts w:eastAsia="Georgia" w:cs="Georgia"/>
              </w:rPr>
              <w:t xml:space="preserve">er </w:t>
            </w:r>
            <w:r w:rsidRPr="63B0B9B7">
              <w:rPr>
                <w:rFonts w:eastAsia="Georgia" w:cs="Georgia"/>
              </w:rPr>
              <w:t>HSA at the beginning of 202</w:t>
            </w:r>
            <w:r w:rsidR="000120B1" w:rsidRPr="63B0B9B7">
              <w:rPr>
                <w:rFonts w:eastAsia="Georgia" w:cs="Georgia"/>
              </w:rPr>
              <w:t>2</w:t>
            </w:r>
            <w:r w:rsidRPr="63B0B9B7">
              <w:rPr>
                <w:rFonts w:eastAsia="Georgia" w:cs="Georgia"/>
              </w:rPr>
              <w:t xml:space="preserve">. </w:t>
            </w:r>
            <w:r w:rsidR="000120B1" w:rsidRPr="63B0B9B7">
              <w:rPr>
                <w:rFonts w:eastAsia="Georgia" w:cs="Georgia"/>
              </w:rPr>
              <w:t xml:space="preserve"> </w:t>
            </w:r>
            <w:r w:rsidR="00AF20B2" w:rsidRPr="63B0B9B7">
              <w:rPr>
                <w:rFonts w:eastAsia="Georgia" w:cs="Georgia"/>
              </w:rPr>
              <w:t xml:space="preserve">Beth </w:t>
            </w:r>
            <w:r w:rsidRPr="63B0B9B7">
              <w:rPr>
                <w:rFonts w:eastAsia="Georgia" w:cs="Georgia"/>
              </w:rPr>
              <w:t>would report this deduction on Form 8889 for 202</w:t>
            </w:r>
            <w:r w:rsidR="00AF20B2" w:rsidRPr="63B0B9B7">
              <w:rPr>
                <w:rFonts w:eastAsia="Georgia" w:cs="Georgia"/>
              </w:rPr>
              <w:t>2</w:t>
            </w:r>
            <w:r w:rsidRPr="63B0B9B7">
              <w:rPr>
                <w:rFonts w:eastAsia="Georgia" w:cs="Georgia"/>
              </w:rPr>
              <w:t>.</w:t>
            </w:r>
          </w:p>
        </w:tc>
      </w:tr>
    </w:tbl>
    <w:p w14:paraId="324380F5" w14:textId="77777777" w:rsidR="00106748" w:rsidRPr="00E2182D" w:rsidRDefault="00106748" w:rsidP="00A75476"/>
    <w:p w14:paraId="388FD223" w14:textId="6F5777D7" w:rsidR="00933D49" w:rsidRPr="00C370F6" w:rsidRDefault="00933D49" w:rsidP="00C370F6">
      <w:pPr>
        <w:pStyle w:val="MediumGrid2-Accent11"/>
        <w:rPr>
          <w:rFonts w:cstheme="minorHAnsi"/>
          <w:i/>
        </w:rPr>
      </w:pPr>
      <w:r w:rsidRPr="00933D49">
        <w:rPr>
          <w:rFonts w:cstheme="minorHAnsi"/>
          <w:i/>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933D49" w:rsidRPr="00C370F6" w:rsidSect="00A75476">
      <w:footerReference w:type="default" r:id="rId11"/>
      <w:footerReference w:type="first" r:id="rId12"/>
      <w:pgSz w:w="12240" w:h="15840" w:code="1"/>
      <w:pgMar w:top="549"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CAAF" w14:textId="77777777" w:rsidR="00517F52" w:rsidRDefault="00517F52" w:rsidP="00A75476">
      <w:r>
        <w:separator/>
      </w:r>
    </w:p>
  </w:endnote>
  <w:endnote w:type="continuationSeparator" w:id="0">
    <w:p w14:paraId="2D6596A9" w14:textId="77777777" w:rsidR="00517F52" w:rsidRDefault="00517F52" w:rsidP="00A75476">
      <w:r>
        <w:continuationSeparator/>
      </w:r>
    </w:p>
  </w:endnote>
  <w:endnote w:type="continuationNotice" w:id="1">
    <w:p w14:paraId="2F0C4686" w14:textId="77777777" w:rsidR="00517F52" w:rsidRDefault="00517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B343CE">
    <w:pPr>
      <w:pStyle w:val="Footer"/>
      <w:spacing w:line="240" w:lineRule="auto"/>
      <w:jc w:val="center"/>
    </w:pPr>
  </w:p>
  <w:p w14:paraId="542819BC" w14:textId="676F56FC" w:rsidR="008D174F" w:rsidRPr="00EC6F17" w:rsidRDefault="00D96EA7" w:rsidP="00EC6F17">
    <w:pPr>
      <w:pStyle w:val="Footer"/>
      <w:spacing w:line="240" w:lineRule="auto"/>
      <w:jc w:val="center"/>
      <w:rPr>
        <w:lang w:val="en-US"/>
      </w:rPr>
    </w:pPr>
    <w:r w:rsidRPr="006C7EC1">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DB9" w14:textId="729EB2F0" w:rsidR="008D174F" w:rsidRPr="00EC6F17" w:rsidRDefault="00D96EA7" w:rsidP="00EC6F17">
    <w:pPr>
      <w:pStyle w:val="Footer"/>
      <w:jc w:val="center"/>
      <w:rPr>
        <w:lang w:val="en-US"/>
      </w:rPr>
    </w:pPr>
    <w:r>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130E" w14:textId="77777777" w:rsidR="00517F52" w:rsidRDefault="00517F52" w:rsidP="00A75476">
      <w:r>
        <w:separator/>
      </w:r>
    </w:p>
  </w:footnote>
  <w:footnote w:type="continuationSeparator" w:id="0">
    <w:p w14:paraId="4F15B17E" w14:textId="77777777" w:rsidR="00517F52" w:rsidRDefault="00517F52" w:rsidP="00A75476">
      <w:r>
        <w:continuationSeparator/>
      </w:r>
    </w:p>
  </w:footnote>
  <w:footnote w:type="continuationNotice" w:id="1">
    <w:p w14:paraId="59751A6D" w14:textId="77777777" w:rsidR="00517F52" w:rsidRDefault="00517F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B676B"/>
    <w:multiLevelType w:val="hybridMultilevel"/>
    <w:tmpl w:val="9EB6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B0F52"/>
    <w:multiLevelType w:val="hybridMultilevel"/>
    <w:tmpl w:val="C3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70595"/>
    <w:multiLevelType w:val="hybridMultilevel"/>
    <w:tmpl w:val="D8003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15"/>
  </w:num>
  <w:num w:numId="3" w16cid:durableId="1824545861">
    <w:abstractNumId w:val="4"/>
  </w:num>
  <w:num w:numId="4" w16cid:durableId="941425011">
    <w:abstractNumId w:val="0"/>
  </w:num>
  <w:num w:numId="5" w16cid:durableId="944268387">
    <w:abstractNumId w:val="21"/>
  </w:num>
  <w:num w:numId="6" w16cid:durableId="1909537257">
    <w:abstractNumId w:val="18"/>
  </w:num>
  <w:num w:numId="7" w16cid:durableId="206912597">
    <w:abstractNumId w:val="19"/>
  </w:num>
  <w:num w:numId="8" w16cid:durableId="3751631">
    <w:abstractNumId w:val="14"/>
  </w:num>
  <w:num w:numId="9" w16cid:durableId="1625840865">
    <w:abstractNumId w:val="1"/>
  </w:num>
  <w:num w:numId="10" w16cid:durableId="286281121">
    <w:abstractNumId w:val="2"/>
  </w:num>
  <w:num w:numId="11" w16cid:durableId="783694730">
    <w:abstractNumId w:val="20"/>
  </w:num>
  <w:num w:numId="12" w16cid:durableId="1661275024">
    <w:abstractNumId w:val="8"/>
  </w:num>
  <w:num w:numId="13" w16cid:durableId="1847478714">
    <w:abstractNumId w:val="9"/>
  </w:num>
  <w:num w:numId="14" w16cid:durableId="796682776">
    <w:abstractNumId w:val="3"/>
  </w:num>
  <w:num w:numId="15" w16cid:durableId="1915820285">
    <w:abstractNumId w:val="11"/>
  </w:num>
  <w:num w:numId="16" w16cid:durableId="1031103399">
    <w:abstractNumId w:val="13"/>
  </w:num>
  <w:num w:numId="17" w16cid:durableId="1100686766">
    <w:abstractNumId w:val="6"/>
  </w:num>
  <w:num w:numId="18" w16cid:durableId="967705383">
    <w:abstractNumId w:val="5"/>
  </w:num>
  <w:num w:numId="19" w16cid:durableId="1007170645">
    <w:abstractNumId w:val="7"/>
  </w:num>
  <w:num w:numId="20" w16cid:durableId="513498277">
    <w:abstractNumId w:val="17"/>
  </w:num>
  <w:num w:numId="21" w16cid:durableId="530142558">
    <w:abstractNumId w:val="12"/>
  </w:num>
  <w:num w:numId="22" w16cid:durableId="17113712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1641"/>
    <w:rsid w:val="000021C5"/>
    <w:rsid w:val="000056D1"/>
    <w:rsid w:val="00010587"/>
    <w:rsid w:val="000120B1"/>
    <w:rsid w:val="0002716A"/>
    <w:rsid w:val="00035DDE"/>
    <w:rsid w:val="0003666E"/>
    <w:rsid w:val="0006483C"/>
    <w:rsid w:val="00064BE0"/>
    <w:rsid w:val="00072C7E"/>
    <w:rsid w:val="00076088"/>
    <w:rsid w:val="00084092"/>
    <w:rsid w:val="00092531"/>
    <w:rsid w:val="000940BE"/>
    <w:rsid w:val="00095DD5"/>
    <w:rsid w:val="0009632A"/>
    <w:rsid w:val="000A672E"/>
    <w:rsid w:val="000B7D90"/>
    <w:rsid w:val="000C0275"/>
    <w:rsid w:val="000D0C19"/>
    <w:rsid w:val="000E6390"/>
    <w:rsid w:val="000F49AE"/>
    <w:rsid w:val="0010232C"/>
    <w:rsid w:val="00106748"/>
    <w:rsid w:val="00111091"/>
    <w:rsid w:val="001218E1"/>
    <w:rsid w:val="001473AE"/>
    <w:rsid w:val="00152063"/>
    <w:rsid w:val="00163FC1"/>
    <w:rsid w:val="0016433D"/>
    <w:rsid w:val="00172B6D"/>
    <w:rsid w:val="001807BF"/>
    <w:rsid w:val="00184A31"/>
    <w:rsid w:val="00185F13"/>
    <w:rsid w:val="00197525"/>
    <w:rsid w:val="00197ABA"/>
    <w:rsid w:val="001A4A16"/>
    <w:rsid w:val="001A7BB1"/>
    <w:rsid w:val="001B290E"/>
    <w:rsid w:val="001B298A"/>
    <w:rsid w:val="001B4654"/>
    <w:rsid w:val="001B4B1E"/>
    <w:rsid w:val="001C3860"/>
    <w:rsid w:val="001C6C78"/>
    <w:rsid w:val="001D4EE6"/>
    <w:rsid w:val="001F2728"/>
    <w:rsid w:val="001F6DEB"/>
    <w:rsid w:val="00205E6D"/>
    <w:rsid w:val="00213249"/>
    <w:rsid w:val="0021397F"/>
    <w:rsid w:val="00234FDF"/>
    <w:rsid w:val="00240430"/>
    <w:rsid w:val="0024190E"/>
    <w:rsid w:val="002705B9"/>
    <w:rsid w:val="00273200"/>
    <w:rsid w:val="002741AE"/>
    <w:rsid w:val="002748B2"/>
    <w:rsid w:val="0027646A"/>
    <w:rsid w:val="00284520"/>
    <w:rsid w:val="002A062E"/>
    <w:rsid w:val="002A5FA4"/>
    <w:rsid w:val="002D1784"/>
    <w:rsid w:val="002E1EF1"/>
    <w:rsid w:val="002F7E99"/>
    <w:rsid w:val="00321324"/>
    <w:rsid w:val="003251FB"/>
    <w:rsid w:val="00325916"/>
    <w:rsid w:val="0033116E"/>
    <w:rsid w:val="00332454"/>
    <w:rsid w:val="00346D33"/>
    <w:rsid w:val="003516E4"/>
    <w:rsid w:val="00351B6F"/>
    <w:rsid w:val="00355C69"/>
    <w:rsid w:val="003648CE"/>
    <w:rsid w:val="0038028A"/>
    <w:rsid w:val="00386095"/>
    <w:rsid w:val="00386BF5"/>
    <w:rsid w:val="00390A47"/>
    <w:rsid w:val="003A7902"/>
    <w:rsid w:val="003B33BC"/>
    <w:rsid w:val="003B5648"/>
    <w:rsid w:val="003B79DD"/>
    <w:rsid w:val="003C0886"/>
    <w:rsid w:val="003C2772"/>
    <w:rsid w:val="003C3879"/>
    <w:rsid w:val="003C6BB6"/>
    <w:rsid w:val="004027CE"/>
    <w:rsid w:val="004072DF"/>
    <w:rsid w:val="00413626"/>
    <w:rsid w:val="00420AF7"/>
    <w:rsid w:val="00423B0D"/>
    <w:rsid w:val="00431A86"/>
    <w:rsid w:val="0045052A"/>
    <w:rsid w:val="00450E56"/>
    <w:rsid w:val="00471721"/>
    <w:rsid w:val="004857AF"/>
    <w:rsid w:val="00487BC1"/>
    <w:rsid w:val="0049505F"/>
    <w:rsid w:val="004B053B"/>
    <w:rsid w:val="004C0F12"/>
    <w:rsid w:val="004C2202"/>
    <w:rsid w:val="004C295A"/>
    <w:rsid w:val="004D0430"/>
    <w:rsid w:val="00510AA8"/>
    <w:rsid w:val="00511671"/>
    <w:rsid w:val="005127CA"/>
    <w:rsid w:val="0051387E"/>
    <w:rsid w:val="00515164"/>
    <w:rsid w:val="00517F52"/>
    <w:rsid w:val="00520C5C"/>
    <w:rsid w:val="005302DE"/>
    <w:rsid w:val="00541044"/>
    <w:rsid w:val="005479BC"/>
    <w:rsid w:val="0056684E"/>
    <w:rsid w:val="00581053"/>
    <w:rsid w:val="005825B0"/>
    <w:rsid w:val="00593CE6"/>
    <w:rsid w:val="005A2463"/>
    <w:rsid w:val="005B6928"/>
    <w:rsid w:val="005C1B54"/>
    <w:rsid w:val="005C5173"/>
    <w:rsid w:val="005C7032"/>
    <w:rsid w:val="005C7412"/>
    <w:rsid w:val="005D0A79"/>
    <w:rsid w:val="005D2235"/>
    <w:rsid w:val="005D70EF"/>
    <w:rsid w:val="005D7415"/>
    <w:rsid w:val="005F05D2"/>
    <w:rsid w:val="006050DE"/>
    <w:rsid w:val="00605C1B"/>
    <w:rsid w:val="00610CAF"/>
    <w:rsid w:val="00613C9E"/>
    <w:rsid w:val="00616D35"/>
    <w:rsid w:val="00620561"/>
    <w:rsid w:val="0062726A"/>
    <w:rsid w:val="00635AF0"/>
    <w:rsid w:val="006439AF"/>
    <w:rsid w:val="00665BF1"/>
    <w:rsid w:val="00676485"/>
    <w:rsid w:val="00680261"/>
    <w:rsid w:val="00680263"/>
    <w:rsid w:val="006851B1"/>
    <w:rsid w:val="00686CC8"/>
    <w:rsid w:val="006B485B"/>
    <w:rsid w:val="006C5714"/>
    <w:rsid w:val="006E4607"/>
    <w:rsid w:val="006F1C84"/>
    <w:rsid w:val="006F2329"/>
    <w:rsid w:val="006F5072"/>
    <w:rsid w:val="006F5415"/>
    <w:rsid w:val="006F6993"/>
    <w:rsid w:val="0070263C"/>
    <w:rsid w:val="007071C6"/>
    <w:rsid w:val="0071021F"/>
    <w:rsid w:val="007248B2"/>
    <w:rsid w:val="00742175"/>
    <w:rsid w:val="0075712A"/>
    <w:rsid w:val="00764C62"/>
    <w:rsid w:val="007730AF"/>
    <w:rsid w:val="00783D0B"/>
    <w:rsid w:val="007848C8"/>
    <w:rsid w:val="00784A7A"/>
    <w:rsid w:val="00786433"/>
    <w:rsid w:val="007B0BBE"/>
    <w:rsid w:val="007B3597"/>
    <w:rsid w:val="007B6AF9"/>
    <w:rsid w:val="007D0F3F"/>
    <w:rsid w:val="007D1207"/>
    <w:rsid w:val="007D35F0"/>
    <w:rsid w:val="007F3213"/>
    <w:rsid w:val="00800AB8"/>
    <w:rsid w:val="00802019"/>
    <w:rsid w:val="00811C32"/>
    <w:rsid w:val="00820AED"/>
    <w:rsid w:val="0082101D"/>
    <w:rsid w:val="00832B64"/>
    <w:rsid w:val="008338B0"/>
    <w:rsid w:val="00833BC7"/>
    <w:rsid w:val="00835711"/>
    <w:rsid w:val="00847D53"/>
    <w:rsid w:val="00852909"/>
    <w:rsid w:val="008535B0"/>
    <w:rsid w:val="00857100"/>
    <w:rsid w:val="008746E2"/>
    <w:rsid w:val="00886916"/>
    <w:rsid w:val="008A4C9C"/>
    <w:rsid w:val="008B3086"/>
    <w:rsid w:val="008B5C1A"/>
    <w:rsid w:val="008C08CF"/>
    <w:rsid w:val="008D1447"/>
    <w:rsid w:val="008D174F"/>
    <w:rsid w:val="008E6758"/>
    <w:rsid w:val="008F357F"/>
    <w:rsid w:val="00907518"/>
    <w:rsid w:val="00907C0C"/>
    <w:rsid w:val="00911C36"/>
    <w:rsid w:val="009137A4"/>
    <w:rsid w:val="00914DB6"/>
    <w:rsid w:val="00923792"/>
    <w:rsid w:val="0093001C"/>
    <w:rsid w:val="00930D15"/>
    <w:rsid w:val="00933D49"/>
    <w:rsid w:val="00937D25"/>
    <w:rsid w:val="009519C5"/>
    <w:rsid w:val="00981C1E"/>
    <w:rsid w:val="009932E2"/>
    <w:rsid w:val="0099394D"/>
    <w:rsid w:val="009A58AE"/>
    <w:rsid w:val="009A7D76"/>
    <w:rsid w:val="009C0177"/>
    <w:rsid w:val="009D122F"/>
    <w:rsid w:val="009D1617"/>
    <w:rsid w:val="009D3C51"/>
    <w:rsid w:val="009D47A6"/>
    <w:rsid w:val="009E129F"/>
    <w:rsid w:val="009F0C34"/>
    <w:rsid w:val="009F60CD"/>
    <w:rsid w:val="00A01943"/>
    <w:rsid w:val="00A1678C"/>
    <w:rsid w:val="00A22915"/>
    <w:rsid w:val="00A230B5"/>
    <w:rsid w:val="00A318FB"/>
    <w:rsid w:val="00A52269"/>
    <w:rsid w:val="00A60C18"/>
    <w:rsid w:val="00A6103C"/>
    <w:rsid w:val="00A75476"/>
    <w:rsid w:val="00A82476"/>
    <w:rsid w:val="00A8458B"/>
    <w:rsid w:val="00A90F69"/>
    <w:rsid w:val="00A92234"/>
    <w:rsid w:val="00A934CB"/>
    <w:rsid w:val="00A93FB0"/>
    <w:rsid w:val="00AA30CE"/>
    <w:rsid w:val="00AC4963"/>
    <w:rsid w:val="00AC70EC"/>
    <w:rsid w:val="00AD2D30"/>
    <w:rsid w:val="00AD6E8D"/>
    <w:rsid w:val="00AF18A8"/>
    <w:rsid w:val="00AF20B2"/>
    <w:rsid w:val="00AF4C61"/>
    <w:rsid w:val="00AF765C"/>
    <w:rsid w:val="00B20563"/>
    <w:rsid w:val="00B343CE"/>
    <w:rsid w:val="00B364A7"/>
    <w:rsid w:val="00B400B0"/>
    <w:rsid w:val="00B4157B"/>
    <w:rsid w:val="00B45303"/>
    <w:rsid w:val="00B64A20"/>
    <w:rsid w:val="00B72467"/>
    <w:rsid w:val="00B72F52"/>
    <w:rsid w:val="00B87DD9"/>
    <w:rsid w:val="00B90582"/>
    <w:rsid w:val="00B91A11"/>
    <w:rsid w:val="00BB0291"/>
    <w:rsid w:val="00BB068C"/>
    <w:rsid w:val="00BC0F74"/>
    <w:rsid w:val="00BF39A0"/>
    <w:rsid w:val="00BF53D2"/>
    <w:rsid w:val="00BF6FA8"/>
    <w:rsid w:val="00BF7BD9"/>
    <w:rsid w:val="00BF7E70"/>
    <w:rsid w:val="00C02794"/>
    <w:rsid w:val="00C370F6"/>
    <w:rsid w:val="00C43745"/>
    <w:rsid w:val="00C43FAE"/>
    <w:rsid w:val="00C52732"/>
    <w:rsid w:val="00C633D0"/>
    <w:rsid w:val="00C6431D"/>
    <w:rsid w:val="00C64DEF"/>
    <w:rsid w:val="00C6621F"/>
    <w:rsid w:val="00C66C3B"/>
    <w:rsid w:val="00C7463B"/>
    <w:rsid w:val="00C81009"/>
    <w:rsid w:val="00C848AC"/>
    <w:rsid w:val="00C90091"/>
    <w:rsid w:val="00C97D66"/>
    <w:rsid w:val="00CA065A"/>
    <w:rsid w:val="00CB16AF"/>
    <w:rsid w:val="00CB7CB3"/>
    <w:rsid w:val="00CC0EFF"/>
    <w:rsid w:val="00CC5D69"/>
    <w:rsid w:val="00CD7180"/>
    <w:rsid w:val="00CD72C4"/>
    <w:rsid w:val="00CD79FA"/>
    <w:rsid w:val="00CF13A4"/>
    <w:rsid w:val="00CF61E7"/>
    <w:rsid w:val="00D1698D"/>
    <w:rsid w:val="00D27F20"/>
    <w:rsid w:val="00D40E48"/>
    <w:rsid w:val="00D45797"/>
    <w:rsid w:val="00D47FE3"/>
    <w:rsid w:val="00D51C38"/>
    <w:rsid w:val="00D60270"/>
    <w:rsid w:val="00D602B9"/>
    <w:rsid w:val="00D752A9"/>
    <w:rsid w:val="00D763DE"/>
    <w:rsid w:val="00D767D2"/>
    <w:rsid w:val="00D77E0E"/>
    <w:rsid w:val="00D96EA7"/>
    <w:rsid w:val="00DC0A86"/>
    <w:rsid w:val="00DD4BE7"/>
    <w:rsid w:val="00DE0D33"/>
    <w:rsid w:val="00DE4A61"/>
    <w:rsid w:val="00E03D92"/>
    <w:rsid w:val="00E13A4D"/>
    <w:rsid w:val="00E14ECC"/>
    <w:rsid w:val="00E2182D"/>
    <w:rsid w:val="00E26044"/>
    <w:rsid w:val="00E3231D"/>
    <w:rsid w:val="00E34047"/>
    <w:rsid w:val="00E37D48"/>
    <w:rsid w:val="00E37ED2"/>
    <w:rsid w:val="00E419BE"/>
    <w:rsid w:val="00E434E1"/>
    <w:rsid w:val="00E640D1"/>
    <w:rsid w:val="00E743A1"/>
    <w:rsid w:val="00E837B6"/>
    <w:rsid w:val="00E84572"/>
    <w:rsid w:val="00EB411B"/>
    <w:rsid w:val="00EC6F17"/>
    <w:rsid w:val="00EC765F"/>
    <w:rsid w:val="00ED086D"/>
    <w:rsid w:val="00ED224B"/>
    <w:rsid w:val="00ED6284"/>
    <w:rsid w:val="00EE3137"/>
    <w:rsid w:val="00EF1E69"/>
    <w:rsid w:val="00EF2F47"/>
    <w:rsid w:val="00EF5B7D"/>
    <w:rsid w:val="00F03E3C"/>
    <w:rsid w:val="00F13651"/>
    <w:rsid w:val="00F21B8E"/>
    <w:rsid w:val="00F325D2"/>
    <w:rsid w:val="00F347A6"/>
    <w:rsid w:val="00F37A37"/>
    <w:rsid w:val="00F37E23"/>
    <w:rsid w:val="00F45586"/>
    <w:rsid w:val="00F5551C"/>
    <w:rsid w:val="00F63A41"/>
    <w:rsid w:val="00F91D9D"/>
    <w:rsid w:val="00F93BBD"/>
    <w:rsid w:val="00FA40A0"/>
    <w:rsid w:val="00FC0F95"/>
    <w:rsid w:val="00FD2FDA"/>
    <w:rsid w:val="00FD6FD5"/>
    <w:rsid w:val="00FF0A07"/>
    <w:rsid w:val="025538E1"/>
    <w:rsid w:val="05EE21F1"/>
    <w:rsid w:val="218FD735"/>
    <w:rsid w:val="4676EA04"/>
    <w:rsid w:val="63B0B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9426C894-0E26-4212-BC41-B71827DA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CE"/>
    <w:pPr>
      <w:spacing w:after="100" w:afterAutospacing="1" w:line="360" w:lineRule="auto"/>
    </w:pPr>
    <w:rPr>
      <w:rFonts w:ascii="Georgia" w:eastAsia="Times New Roman" w:hAnsi="Georgia" w:cs="Times New Roman"/>
      <w:color w:val="000000" w:themeColor="text1"/>
      <w:sz w:val="20"/>
      <w:szCs w:val="20"/>
      <w:lang w:bidi="en-US"/>
    </w:rPr>
  </w:style>
  <w:style w:type="paragraph" w:styleId="Heading1">
    <w:name w:val="heading 1"/>
    <w:basedOn w:val="Normal"/>
    <w:next w:val="Normal"/>
    <w:link w:val="Heading1Char"/>
    <w:uiPriority w:val="9"/>
    <w:qFormat/>
    <w:rsid w:val="00EC6F17"/>
    <w:pPr>
      <w:keepNext/>
      <w:keepLines/>
      <w:spacing w:before="240"/>
      <w:outlineLvl w:val="0"/>
    </w:pPr>
    <w:rPr>
      <w:rFonts w:ascii="Arial" w:eastAsiaTheme="majorEastAsia" w:hAnsi="Arial" w:cs="Arial"/>
      <w:color w:val="142DFF"/>
      <w:sz w:val="32"/>
      <w:szCs w:val="32"/>
      <w:lang w:bidi="ar-SA"/>
    </w:rPr>
  </w:style>
  <w:style w:type="paragraph" w:styleId="Heading2">
    <w:name w:val="heading 2"/>
    <w:basedOn w:val="Normal"/>
    <w:next w:val="Normal"/>
    <w:link w:val="Heading2Char"/>
    <w:uiPriority w:val="9"/>
    <w:unhideWhenUsed/>
    <w:qFormat/>
    <w:rsid w:val="00EC6F17"/>
    <w:pPr>
      <w:framePr w:hSpace="180" w:wrap="around" w:vAnchor="text" w:hAnchor="margin" w:y="7"/>
      <w:spacing w:after="0" w:afterAutospacing="0"/>
      <w:outlineLvl w:val="1"/>
    </w:pPr>
    <w:rPr>
      <w:rFonts w:ascii="Arial" w:hAnsi="Arial" w:cs="Arial"/>
      <w:b/>
      <w:bCs/>
      <w:color w:val="auto"/>
    </w:rPr>
  </w:style>
  <w:style w:type="paragraph" w:styleId="Heading3">
    <w:name w:val="heading 3"/>
    <w:basedOn w:val="Normal"/>
    <w:next w:val="Normal"/>
    <w:link w:val="Heading3Char"/>
    <w:uiPriority w:val="9"/>
    <w:unhideWhenUsed/>
    <w:qFormat/>
    <w:rsid w:val="00B343CE"/>
    <w:pPr>
      <w:framePr w:hSpace="180" w:wrap="around" w:vAnchor="text" w:hAnchor="margin" w:x="210" w:y="7"/>
      <w:outlineLvl w:val="2"/>
    </w:pPr>
    <w:rPr>
      <w:rFonts w:ascii="Arial" w:hAnsi="Arial" w:cs="Arial"/>
      <w:b/>
      <w:bCs/>
      <w:color w:val="142DFF"/>
    </w:rPr>
  </w:style>
  <w:style w:type="paragraph" w:styleId="Heading4">
    <w:name w:val="heading 4"/>
    <w:basedOn w:val="Heading2"/>
    <w:next w:val="Normal"/>
    <w:link w:val="Heading4Char"/>
    <w:uiPriority w:val="9"/>
    <w:unhideWhenUsed/>
    <w:qFormat/>
    <w:rsid w:val="00EC6F17"/>
    <w:pPr>
      <w:framePr w:wrap="around"/>
      <w:outlineLvl w:val="3"/>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17"/>
    <w:rPr>
      <w:rFonts w:ascii="Arial" w:eastAsiaTheme="majorEastAsia" w:hAnsi="Arial" w:cs="Arial"/>
      <w:color w:val="142DFF"/>
      <w:sz w:val="32"/>
      <w:szCs w:val="32"/>
    </w:rPr>
  </w:style>
  <w:style w:type="paragraph" w:customStyle="1" w:styleId="MediumGrid2-Accent11">
    <w:name w:val="Medium Grid 2 - Accent 11"/>
    <w:aliases w:val="Bob Comments"/>
    <w:basedOn w:val="Normal"/>
    <w:link w:val="MediumGrid2-Accent1Char"/>
    <w:uiPriority w:val="1"/>
    <w:qFormat/>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style>
  <w:style w:type="paragraph" w:customStyle="1" w:styleId="xmsonormal">
    <w:name w:val="x_msonormal"/>
    <w:basedOn w:val="Normal"/>
    <w:uiPriority w:val="99"/>
    <w:rsid w:val="00321324"/>
    <w:rPr>
      <w:rFonts w:ascii="Times New Roman" w:hAnsi="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rsid w:val="00EC6F17"/>
    <w:rPr>
      <w:rFonts w:ascii="Arial" w:eastAsia="Times New Roman" w:hAnsi="Arial" w:cs="Arial"/>
      <w:b/>
      <w:bCs/>
      <w:sz w:val="20"/>
      <w:szCs w:val="20"/>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 w:type="paragraph" w:styleId="Title">
    <w:name w:val="Title"/>
    <w:basedOn w:val="Normal"/>
    <w:next w:val="Normal"/>
    <w:link w:val="TitleChar"/>
    <w:uiPriority w:val="10"/>
    <w:qFormat/>
    <w:rsid w:val="00A7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76"/>
    <w:rPr>
      <w:rFonts w:asciiTheme="majorHAnsi" w:eastAsiaTheme="majorEastAsia" w:hAnsiTheme="majorHAnsi" w:cstheme="majorBidi"/>
      <w:spacing w:val="-10"/>
      <w:kern w:val="28"/>
      <w:sz w:val="56"/>
      <w:szCs w:val="56"/>
      <w:lang w:bidi="en-US"/>
    </w:rPr>
  </w:style>
  <w:style w:type="table" w:customStyle="1" w:styleId="TableGrid1">
    <w:name w:val="Table Grid1"/>
    <w:basedOn w:val="TableNormal"/>
    <w:next w:val="TableGrid"/>
    <w:rsid w:val="00A75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43CE"/>
    <w:rPr>
      <w:rFonts w:ascii="Arial" w:eastAsia="Times New Roman" w:hAnsi="Arial" w:cs="Arial"/>
      <w:b/>
      <w:bCs/>
      <w:color w:val="142DFF"/>
      <w:sz w:val="20"/>
      <w:szCs w:val="20"/>
      <w:lang w:bidi="en-US"/>
    </w:rPr>
  </w:style>
  <w:style w:type="character" w:customStyle="1" w:styleId="Heading4Char">
    <w:name w:val="Heading 4 Char"/>
    <w:basedOn w:val="DefaultParagraphFont"/>
    <w:link w:val="Heading4"/>
    <w:uiPriority w:val="9"/>
    <w:rsid w:val="00EC6F17"/>
    <w:rPr>
      <w:rFonts w:ascii="Arial" w:eastAsia="Times New Roman" w:hAnsi="Arial" w:cs="Arial"/>
      <w:b/>
      <w:bCs/>
      <w:color w:val="FFFFFF" w:themeColor="background1"/>
      <w:sz w:val="20"/>
      <w:szCs w:val="20"/>
      <w:lang w:bidi="en-US"/>
    </w:rPr>
  </w:style>
  <w:style w:type="character" w:styleId="CommentReference">
    <w:name w:val="annotation reference"/>
    <w:basedOn w:val="DefaultParagraphFont"/>
    <w:uiPriority w:val="99"/>
    <w:semiHidden/>
    <w:unhideWhenUsed/>
    <w:rsid w:val="00613C9E"/>
    <w:rPr>
      <w:sz w:val="16"/>
      <w:szCs w:val="16"/>
    </w:rPr>
  </w:style>
  <w:style w:type="paragraph" w:styleId="CommentText">
    <w:name w:val="annotation text"/>
    <w:basedOn w:val="Normal"/>
    <w:link w:val="CommentTextChar"/>
    <w:uiPriority w:val="99"/>
    <w:unhideWhenUsed/>
    <w:rsid w:val="00613C9E"/>
    <w:pPr>
      <w:spacing w:line="240" w:lineRule="auto"/>
    </w:pPr>
  </w:style>
  <w:style w:type="character" w:customStyle="1" w:styleId="CommentTextChar">
    <w:name w:val="Comment Text Char"/>
    <w:basedOn w:val="DefaultParagraphFont"/>
    <w:link w:val="CommentText"/>
    <w:uiPriority w:val="99"/>
    <w:rsid w:val="00613C9E"/>
    <w:rPr>
      <w:rFonts w:ascii="Georgia" w:eastAsia="Times New Roman" w:hAnsi="Georg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613C9E"/>
    <w:rPr>
      <w:b/>
      <w:bCs/>
    </w:rPr>
  </w:style>
  <w:style w:type="character" w:customStyle="1" w:styleId="CommentSubjectChar">
    <w:name w:val="Comment Subject Char"/>
    <w:basedOn w:val="CommentTextChar"/>
    <w:link w:val="CommentSubject"/>
    <w:uiPriority w:val="99"/>
    <w:semiHidden/>
    <w:rsid w:val="00613C9E"/>
    <w:rPr>
      <w:rFonts w:ascii="Georgia" w:eastAsia="Times New Roman" w:hAnsi="Georgia" w:cs="Times New Roman"/>
      <w:b/>
      <w:bCs/>
      <w:color w:val="000000" w:themeColor="text1"/>
      <w:sz w:val="20"/>
      <w:szCs w:val="20"/>
      <w:lang w:bidi="en-US"/>
    </w:rPr>
  </w:style>
  <w:style w:type="paragraph" w:styleId="Revision">
    <w:name w:val="Revision"/>
    <w:hidden/>
    <w:uiPriority w:val="99"/>
    <w:semiHidden/>
    <w:rsid w:val="00E434E1"/>
    <w:pPr>
      <w:spacing w:after="0" w:line="240" w:lineRule="auto"/>
    </w:pPr>
    <w:rPr>
      <w:rFonts w:ascii="Georgia" w:eastAsia="Times New Roman" w:hAnsi="Georgia" w:cs="Times New Roman"/>
      <w:color w:val="000000" w:themeColor="text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1C58C-926F-4A07-B7CA-179FCB86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DDA72-0411-4354-8835-A0CF929A5E6A}">
  <ds:schemaRefs>
    <ds:schemaRef ds:uri="http://schemas.microsoft.com/sharepoint/v3/contenttype/forms"/>
  </ds:schemaRefs>
</ds:datastoreItem>
</file>

<file path=customXml/itemProps3.xml><?xml version="1.0" encoding="utf-8"?>
<ds:datastoreItem xmlns:ds="http://schemas.openxmlformats.org/officeDocument/2006/customXml" ds:itemID="{FA101292-8960-4B20-A637-D035B02EC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Microsoft Office User</cp:lastModifiedBy>
  <cp:revision>2</cp:revision>
  <dcterms:created xsi:type="dcterms:W3CDTF">2023-03-13T15:33:00Z</dcterms:created>
  <dcterms:modified xsi:type="dcterms:W3CDTF">2023-03-13T15:33:00Z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