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9987728" w:rsidR="00321324" w:rsidRDefault="00A75476" w:rsidP="00A75476">
      <w:r w:rsidRPr="00A75476">
        <w:rPr>
          <w:noProof/>
        </w:rPr>
        <w:drawing>
          <wp:anchor distT="0" distB="0" distL="114300" distR="114300" simplePos="0" relativeHeight="251661312" behindDoc="0" locked="0" layoutInCell="1" allowOverlap="1" wp14:anchorId="60D79E68" wp14:editId="6FDF3685">
            <wp:simplePos x="0" y="0"/>
            <wp:positionH relativeFrom="column">
              <wp:posOffset>6985</wp:posOffset>
            </wp:positionH>
            <wp:positionV relativeFrom="paragraph">
              <wp:posOffset>338947</wp:posOffset>
            </wp:positionV>
            <wp:extent cx="429895" cy="429895"/>
            <wp:effectExtent l="0" t="0" r="1905" b="190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86">
        <w:rPr>
          <w:noProof/>
        </w:rPr>
        <mc:AlternateContent>
          <mc:Choice Requires="wps">
            <w:drawing>
              <wp:anchor distT="0" distB="0" distL="114300" distR="114300" simplePos="0" relativeHeight="251659264" behindDoc="0" locked="0" layoutInCell="1" allowOverlap="1" wp14:anchorId="0F86DDCF" wp14:editId="046D95F2">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A754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6DDCF" id="_x0000_t202" coordsize="21600,21600" o:spt="202" path="m,l,21600r21600,l21600,xe">
                <v:stroke joinstyle="miter"/>
                <v:path gradientshapeok="t" o:connecttype="rect"/>
              </v:shapetype>
              <v:shape id="Text Box 1" o:spid="_x0000_s1026" type="#_x0000_t202" style="position:absolute;margin-left:275.95pt;margin-top:-47.5pt;width:228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" filled="f" stroked="f">
                <v:textbox>
                  <w:txbxContent>
                    <w:p w14:paraId="11519A24" w14:textId="77777777" w:rsidR="00321324" w:rsidRPr="00D636DB" w:rsidRDefault="00321324" w:rsidP="00A75476"/>
                  </w:txbxContent>
                </v:textbox>
              </v:shape>
            </w:pict>
          </mc:Fallback>
        </mc:AlternateContent>
      </w:r>
    </w:p>
    <w:p w14:paraId="18F772C3" w14:textId="746D03CB" w:rsidR="00B343CE" w:rsidRDefault="00A75476" w:rsidP="0003666E">
      <w:pPr>
        <w:spacing w:line="240" w:lineRule="auto"/>
        <w:rPr>
          <w:rFonts w:ascii="Arial" w:hAnsi="Arial" w:cs="Arial"/>
          <w:b/>
          <w:bCs/>
        </w:rPr>
      </w:pPr>
      <w:r w:rsidRPr="00A75476">
        <w:t xml:space="preserve">Benefit Comply </w:t>
      </w:r>
      <w:r>
        <w:br/>
      </w:r>
      <w:r w:rsidRPr="00A75476">
        <w:rPr>
          <w:rFonts w:ascii="Arial" w:hAnsi="Arial" w:cs="Arial"/>
          <w:b/>
          <w:bCs/>
        </w:rPr>
        <w:t>Compliance</w:t>
      </w:r>
      <w:r w:rsidR="00833BC7">
        <w:rPr>
          <w:rFonts w:ascii="Arial" w:hAnsi="Arial" w:cs="Arial"/>
          <w:b/>
          <w:bCs/>
        </w:rPr>
        <w:t xml:space="preserve"> Focus</w:t>
      </w:r>
      <w:r w:rsidRPr="00A75476">
        <w:rPr>
          <w:rFonts w:ascii="Arial" w:hAnsi="Arial" w:cs="Arial"/>
          <w:b/>
          <w:bCs/>
        </w:rPr>
        <w:t xml:space="preserve"> </w:t>
      </w:r>
    </w:p>
    <w:p w14:paraId="2F2535CF" w14:textId="77777777" w:rsidR="0003666E" w:rsidRPr="0003666E" w:rsidRDefault="0003666E" w:rsidP="0003666E">
      <w:pPr>
        <w:spacing w:line="240" w:lineRule="auto"/>
        <w:rPr>
          <w:rFonts w:ascii="Arial" w:hAnsi="Arial" w:cs="Arial"/>
          <w:b/>
          <w:bCs/>
        </w:rPr>
      </w:pPr>
    </w:p>
    <w:p w14:paraId="45E709AD" w14:textId="550758F7" w:rsidR="00F1520C" w:rsidRPr="00F1520C" w:rsidRDefault="00F1520C" w:rsidP="00F1520C">
      <w:pPr>
        <w:pStyle w:val="Heading2"/>
        <w:framePr w:wrap="around"/>
        <w:rPr>
          <w:rFonts w:eastAsiaTheme="majorEastAsia"/>
          <w:color w:val="142DFF"/>
          <w:sz w:val="32"/>
          <w:szCs w:val="32"/>
          <w:lang w:bidi="ar-SA"/>
        </w:rPr>
      </w:pPr>
      <w:r w:rsidRPr="00F1520C">
        <w:rPr>
          <w:rFonts w:eastAsiaTheme="majorEastAsia"/>
          <w:color w:val="142DFF"/>
          <w:sz w:val="32"/>
          <w:szCs w:val="32"/>
          <w:lang w:bidi="ar-SA"/>
        </w:rPr>
        <w:t xml:space="preserve">Rx Reporting </w:t>
      </w:r>
      <w:r w:rsidR="007C72E4">
        <w:rPr>
          <w:rFonts w:eastAsiaTheme="majorEastAsia"/>
          <w:color w:val="142DFF"/>
          <w:sz w:val="32"/>
          <w:szCs w:val="32"/>
          <w:lang w:bidi="ar-SA"/>
        </w:rPr>
        <w:t xml:space="preserve">- </w:t>
      </w:r>
      <w:r w:rsidRPr="00F1520C">
        <w:rPr>
          <w:rFonts w:eastAsiaTheme="majorEastAsia"/>
          <w:color w:val="142DFF"/>
          <w:sz w:val="32"/>
          <w:szCs w:val="32"/>
          <w:lang w:bidi="ar-SA"/>
        </w:rPr>
        <w:t>Round Two! (Sorry</w:t>
      </w:r>
      <w:r w:rsidR="007C72E4">
        <w:rPr>
          <w:rFonts w:eastAsiaTheme="majorEastAsia"/>
          <w:color w:val="142DFF"/>
          <w:sz w:val="32"/>
          <w:szCs w:val="32"/>
          <w:lang w:bidi="ar-SA"/>
        </w:rPr>
        <w:t>,</w:t>
      </w:r>
      <w:r w:rsidRPr="00F1520C">
        <w:rPr>
          <w:rFonts w:eastAsiaTheme="majorEastAsia"/>
          <w:color w:val="142DFF"/>
          <w:sz w:val="32"/>
          <w:szCs w:val="32"/>
          <w:lang w:bidi="ar-SA"/>
        </w:rPr>
        <w:t xml:space="preserve"> you </w:t>
      </w:r>
      <w:r>
        <w:rPr>
          <w:rFonts w:eastAsiaTheme="majorEastAsia"/>
          <w:color w:val="142DFF"/>
          <w:sz w:val="32"/>
          <w:szCs w:val="32"/>
          <w:lang w:bidi="ar-SA"/>
        </w:rPr>
        <w:t>can</w:t>
      </w:r>
      <w:r w:rsidRPr="00F1520C">
        <w:rPr>
          <w:rFonts w:eastAsiaTheme="majorEastAsia"/>
          <w:color w:val="142DFF"/>
          <w:sz w:val="32"/>
          <w:szCs w:val="32"/>
          <w:lang w:bidi="ar-SA"/>
        </w:rPr>
        <w:t>’t ignore it this time.)</w:t>
      </w:r>
    </w:p>
    <w:p w14:paraId="040CD6AE" w14:textId="4F22F557" w:rsidR="00A75476" w:rsidRPr="00EC6F17" w:rsidRDefault="00BB068C" w:rsidP="00BB068C">
      <w:pPr>
        <w:pStyle w:val="Heading2"/>
        <w:framePr w:wrap="around"/>
      </w:pPr>
      <w:r>
        <w:t xml:space="preserve">Date Issued: </w:t>
      </w:r>
      <w:r w:rsidR="007C72E4">
        <w:t>February</w:t>
      </w:r>
      <w:r w:rsidR="00BB1D5F">
        <w:t xml:space="preserve"> 15,</w:t>
      </w:r>
      <w:r w:rsidR="007C72E4">
        <w:t xml:space="preserve"> 2023</w:t>
      </w:r>
      <w:r w:rsidR="001B298A" w:rsidRPr="00EC6F17">
        <w:t xml:space="preserve"> </w:t>
      </w:r>
    </w:p>
    <w:p w14:paraId="09A98E94" w14:textId="77777777" w:rsidR="00B343CE" w:rsidRDefault="00B343CE" w:rsidP="00B343CE">
      <w:pPr>
        <w:framePr w:hSpace="180" w:wrap="around" w:vAnchor="text" w:hAnchor="margin" w:y="7"/>
        <w:spacing w:after="0" w:afterAutospacing="0"/>
        <w:rPr>
          <w:color w:val="auto"/>
        </w:rPr>
      </w:pPr>
    </w:p>
    <w:p w14:paraId="5786A4B9" w14:textId="77777777" w:rsidR="001A7CD3" w:rsidRDefault="001A7CD3" w:rsidP="001A7CD3">
      <w:r>
        <w:t xml:space="preserve">We’ve made it through the first round of prescription drug reporting (a/k/a </w:t>
      </w:r>
      <w:proofErr w:type="spellStart"/>
      <w:r>
        <w:t>RxDC</w:t>
      </w:r>
      <w:proofErr w:type="spellEnd"/>
      <w:r>
        <w:t xml:space="preserve"> reporting) required by the Consolidated Appropriations Act. The reports for 2020 and 2021 were initially due December 27, 2022 which deadline was later extended to January 31, 2023. </w:t>
      </w:r>
    </w:p>
    <w:p w14:paraId="636A3654" w14:textId="0BC70141" w:rsidR="001A7CD3" w:rsidRDefault="001A7CD3" w:rsidP="001A7CD3">
      <w:r>
        <w:t>This is an annual reporting requirement which going forward will be due June 1 of the year following the calendar year being reported</w:t>
      </w:r>
      <w:r w:rsidR="003A5E44">
        <w:t xml:space="preserve"> (</w:t>
      </w:r>
      <w:r>
        <w:t>also known as the reference year</w:t>
      </w:r>
      <w:r w:rsidR="003A5E44">
        <w:t>)</w:t>
      </w:r>
      <w:r>
        <w:t>. So that means the next round of reporting for the year 2022 is due June 1, 2023, which is fast approaching.</w:t>
      </w:r>
    </w:p>
    <w:p w14:paraId="7AECD049" w14:textId="1FB9BFD0" w:rsidR="00B343CE" w:rsidRPr="000B02E3" w:rsidRDefault="001A7CD3" w:rsidP="00B343CE">
      <w:r>
        <w:t xml:space="preserve">Many employers, especially those with fully-insured plans, got away without having to do anything in the first round of reporting because their carrier/TPA/PBM was able to handle the reporting for them. But that is going to change in the next round of reporting because of a change in what information is required to be reported. </w:t>
      </w:r>
      <w:r w:rsidRPr="000B02E3">
        <w:t>Going forward we expect</w:t>
      </w:r>
      <w:r w:rsidR="004429E9">
        <w:t xml:space="preserve"> that</w:t>
      </w:r>
      <w:r w:rsidRPr="000B02E3">
        <w:t xml:space="preserve"> all employers offering a group health plan, regardless of size and funding vehicle, will have some role to play in the </w:t>
      </w:r>
      <w:proofErr w:type="spellStart"/>
      <w:r w:rsidRPr="000B02E3">
        <w:t>RxDC</w:t>
      </w:r>
      <w:proofErr w:type="spellEnd"/>
      <w:r w:rsidRPr="000B02E3">
        <w:t xml:space="preserve"> process.</w:t>
      </w:r>
    </w:p>
    <w:p w14:paraId="72B58151" w14:textId="0B596FA2" w:rsidR="008D6E0F" w:rsidRPr="008D6E0F" w:rsidRDefault="008D6E0F" w:rsidP="008D6E0F">
      <w:pPr>
        <w:pStyle w:val="Heading2"/>
        <w:framePr w:wrap="around"/>
      </w:pPr>
      <w:r w:rsidRPr="008D6E0F">
        <w:t xml:space="preserve">Mind </w:t>
      </w:r>
      <w:r w:rsidR="004429E9">
        <w:t>Y</w:t>
      </w:r>
      <w:r w:rsidRPr="008D6E0F">
        <w:t>our Ps and Ds</w:t>
      </w:r>
    </w:p>
    <w:p w14:paraId="0EBD53FB" w14:textId="77777777" w:rsidR="00EC6F17" w:rsidRDefault="00EC6F17" w:rsidP="00B343CE">
      <w:pPr>
        <w:rPr>
          <w:rFonts w:cstheme="minorHAnsi"/>
        </w:rPr>
      </w:pPr>
    </w:p>
    <w:p w14:paraId="59260E0D" w14:textId="6FEA6F51" w:rsidR="00AC2BFA" w:rsidRDefault="00AC2BFA" w:rsidP="00AC2BFA">
      <w:r>
        <w:t xml:space="preserve">The </w:t>
      </w:r>
      <w:proofErr w:type="spellStart"/>
      <w:r>
        <w:t>RxDC</w:t>
      </w:r>
      <w:proofErr w:type="spellEnd"/>
      <w:r>
        <w:t xml:space="preserve"> reporting requirement takes the form of nine different data files that are submitted to CMS through their HIOS system</w:t>
      </w:r>
      <w:r w:rsidR="00A149E5">
        <w:t>:</w:t>
      </w:r>
      <w:r>
        <w:t xml:space="preserve"> </w:t>
      </w:r>
    </w:p>
    <w:tbl>
      <w:tblPr>
        <w:tblStyle w:val="TableGrid"/>
        <w:tblW w:w="10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72" w:type="dxa"/>
          <w:left w:w="216" w:type="dxa"/>
          <w:bottom w:w="72" w:type="dxa"/>
          <w:right w:w="216" w:type="dxa"/>
        </w:tblCellMar>
        <w:tblLook w:val="04A0" w:firstRow="1" w:lastRow="0" w:firstColumn="1" w:lastColumn="0" w:noHBand="0" w:noVBand="1"/>
      </w:tblPr>
      <w:tblGrid>
        <w:gridCol w:w="3055"/>
        <w:gridCol w:w="7380"/>
      </w:tblGrid>
      <w:tr w:rsidR="00381B1C" w14:paraId="303BC96F" w14:textId="77777777" w:rsidTr="00381B1C">
        <w:tc>
          <w:tcPr>
            <w:tcW w:w="3055" w:type="dxa"/>
            <w:shd w:val="clear" w:color="auto" w:fill="DEEAF6" w:themeFill="accent5" w:themeFillTint="33"/>
          </w:tcPr>
          <w:p w14:paraId="7F6D932F" w14:textId="48E0E8C5" w:rsidR="00381B1C" w:rsidRPr="006333EF" w:rsidRDefault="00381B1C" w:rsidP="00381B1C">
            <w:pPr>
              <w:rPr>
                <w:b/>
                <w:bCs/>
              </w:rPr>
            </w:pPr>
            <w:r w:rsidRPr="006333EF">
              <w:rPr>
                <w:b/>
                <w:bCs/>
              </w:rPr>
              <w:t>D1</w:t>
            </w:r>
          </w:p>
        </w:tc>
        <w:tc>
          <w:tcPr>
            <w:tcW w:w="7380" w:type="dxa"/>
            <w:shd w:val="clear" w:color="auto" w:fill="DEEAF6" w:themeFill="accent5" w:themeFillTint="33"/>
          </w:tcPr>
          <w:p w14:paraId="2F847A45" w14:textId="5112877F" w:rsidR="00381B1C" w:rsidRDefault="00381B1C" w:rsidP="00381B1C">
            <w:pPr>
              <w:spacing w:after="0" w:afterAutospacing="0"/>
            </w:pPr>
            <w:r>
              <w:t xml:space="preserve">Plan Details (vendors, # covered individuals, premiums etc.) </w:t>
            </w:r>
          </w:p>
        </w:tc>
      </w:tr>
      <w:tr w:rsidR="00381B1C" w14:paraId="5036E142" w14:textId="77777777" w:rsidTr="00381B1C">
        <w:tc>
          <w:tcPr>
            <w:tcW w:w="3055" w:type="dxa"/>
            <w:shd w:val="clear" w:color="auto" w:fill="DEEAF6" w:themeFill="accent5" w:themeFillTint="33"/>
          </w:tcPr>
          <w:p w14:paraId="5CEC1E7B" w14:textId="774EAC46" w:rsidR="00381B1C" w:rsidRPr="006333EF" w:rsidRDefault="00381B1C" w:rsidP="00381B1C">
            <w:pPr>
              <w:rPr>
                <w:b/>
                <w:bCs/>
              </w:rPr>
            </w:pPr>
            <w:r w:rsidRPr="006333EF">
              <w:rPr>
                <w:b/>
                <w:bCs/>
              </w:rPr>
              <w:t>D2</w:t>
            </w:r>
          </w:p>
        </w:tc>
        <w:tc>
          <w:tcPr>
            <w:tcW w:w="7380" w:type="dxa"/>
            <w:shd w:val="clear" w:color="auto" w:fill="DEEAF6" w:themeFill="accent5" w:themeFillTint="33"/>
          </w:tcPr>
          <w:p w14:paraId="03EC420B" w14:textId="4EE4F990" w:rsidR="00381B1C" w:rsidRDefault="00381B1C" w:rsidP="00381B1C">
            <w:pPr>
              <w:spacing w:after="0" w:afterAutospacing="0"/>
            </w:pPr>
            <w:r>
              <w:t>Medical spending information</w:t>
            </w:r>
          </w:p>
        </w:tc>
      </w:tr>
      <w:tr w:rsidR="00381B1C" w14:paraId="56AA2DAD" w14:textId="77777777" w:rsidTr="00381B1C">
        <w:tc>
          <w:tcPr>
            <w:tcW w:w="3055" w:type="dxa"/>
            <w:shd w:val="clear" w:color="auto" w:fill="DEEAF6" w:themeFill="accent5" w:themeFillTint="33"/>
          </w:tcPr>
          <w:p w14:paraId="00F3AC89" w14:textId="08BA38AC" w:rsidR="00381B1C" w:rsidRPr="006333EF" w:rsidRDefault="00381B1C" w:rsidP="00381B1C">
            <w:pPr>
              <w:rPr>
                <w:b/>
                <w:bCs/>
              </w:rPr>
            </w:pPr>
            <w:r w:rsidRPr="006333EF">
              <w:rPr>
                <w:b/>
                <w:bCs/>
              </w:rPr>
              <w:t>D3-D8</w:t>
            </w:r>
          </w:p>
        </w:tc>
        <w:tc>
          <w:tcPr>
            <w:tcW w:w="7380" w:type="dxa"/>
            <w:shd w:val="clear" w:color="auto" w:fill="DEEAF6" w:themeFill="accent5" w:themeFillTint="33"/>
          </w:tcPr>
          <w:p w14:paraId="5992DA70" w14:textId="4146EEC4" w:rsidR="00381B1C" w:rsidRDefault="00381B1C" w:rsidP="00381B1C">
            <w:pPr>
              <w:spacing w:after="0" w:afterAutospacing="0"/>
            </w:pPr>
            <w:r>
              <w:t>Drug spending information</w:t>
            </w:r>
          </w:p>
        </w:tc>
      </w:tr>
      <w:tr w:rsidR="00381B1C" w14:paraId="411870D0" w14:textId="77777777" w:rsidTr="00381B1C">
        <w:tc>
          <w:tcPr>
            <w:tcW w:w="3055" w:type="dxa"/>
            <w:shd w:val="clear" w:color="auto" w:fill="DEEAF6" w:themeFill="accent5" w:themeFillTint="33"/>
          </w:tcPr>
          <w:p w14:paraId="12ED465C" w14:textId="02A6A881" w:rsidR="00381B1C" w:rsidRPr="006333EF" w:rsidRDefault="00381B1C" w:rsidP="00381B1C">
            <w:pPr>
              <w:rPr>
                <w:b/>
                <w:bCs/>
              </w:rPr>
            </w:pPr>
            <w:r w:rsidRPr="006333EF">
              <w:rPr>
                <w:b/>
                <w:bCs/>
              </w:rPr>
              <w:t>P2</w:t>
            </w:r>
          </w:p>
        </w:tc>
        <w:tc>
          <w:tcPr>
            <w:tcW w:w="7380" w:type="dxa"/>
            <w:shd w:val="clear" w:color="auto" w:fill="DEEAF6" w:themeFill="accent5" w:themeFillTint="33"/>
          </w:tcPr>
          <w:p w14:paraId="4C78AA33" w14:textId="5942ACCB" w:rsidR="00381B1C" w:rsidRDefault="00381B1C" w:rsidP="00381B1C">
            <w:pPr>
              <w:spacing w:after="0" w:afterAutospacing="0"/>
            </w:pPr>
            <w:r>
              <w:t>Plan identifying information – sort of a cover sheet that identifies which plans are included in the accompanying D files</w:t>
            </w:r>
          </w:p>
        </w:tc>
      </w:tr>
    </w:tbl>
    <w:p w14:paraId="1650F4DE" w14:textId="0FDC9564" w:rsidR="00E0595B" w:rsidRDefault="00E0595B" w:rsidP="00524D5A">
      <w:pPr>
        <w:keepLines/>
        <w:spacing w:before="240"/>
      </w:pPr>
      <w:r>
        <w:lastRenderedPageBreak/>
        <w:t>Most of the data required to be included in these files is in the possession of the carrier, TPA or PBM so they can handle the filing of those reports without the employer’s input or assistance.</w:t>
      </w:r>
      <w:r>
        <w:rPr>
          <w:rStyle w:val="FootnoteReference"/>
        </w:rPr>
        <w:footnoteReference w:id="1"/>
      </w:r>
      <w:r>
        <w:t xml:space="preserve"> The notable exception is the D1 file which contains two fields to report Average Monthly Premium Paid </w:t>
      </w:r>
      <w:r w:rsidR="0026369D">
        <w:t>b</w:t>
      </w:r>
      <w:r>
        <w:t xml:space="preserve">y Members and Average Monthly Premium Paid </w:t>
      </w:r>
      <w:r w:rsidR="0026369D">
        <w:t>b</w:t>
      </w:r>
      <w:r>
        <w:t xml:space="preserve">y Employers. </w:t>
      </w:r>
    </w:p>
    <w:p w14:paraId="3ACE9C46" w14:textId="77777777" w:rsidR="00E0595B" w:rsidRDefault="00E0595B" w:rsidP="00E0595B">
      <w:pPr>
        <w:spacing w:before="240"/>
      </w:pPr>
      <w:r>
        <w:t xml:space="preserve">Most carriers, TPAs and PBMs do not collect and store an individual group’s premium contribution split which means they have to obtain this information from the employer themselves. In the first round of reporting, CMS indicated these data fields were optional so many carriers, TPAs and PBMs just ignored them which is why many employers had no involvement in the first round of reporting. </w:t>
      </w:r>
    </w:p>
    <w:p w14:paraId="234E090A" w14:textId="77777777" w:rsidR="00E0595B" w:rsidRDefault="00E0595B" w:rsidP="00E0595B">
      <w:pPr>
        <w:spacing w:before="240"/>
      </w:pPr>
      <w:r>
        <w:t>However, CMS has indicated these fields will be required going forward which means employers will have to supply this information. We have seen two approaches from carriers and TPAs to collect this data from employers.</w:t>
      </w:r>
    </w:p>
    <w:p w14:paraId="01C2F151" w14:textId="77777777" w:rsidR="00AD368E" w:rsidRPr="00AD368E" w:rsidRDefault="00AD368E" w:rsidP="004E4036">
      <w:pPr>
        <w:pStyle w:val="ListParagraph"/>
        <w:numPr>
          <w:ilvl w:val="0"/>
          <w:numId w:val="20"/>
        </w:numPr>
        <w:spacing w:after="240" w:afterAutospacing="0"/>
        <w:contextualSpacing w:val="0"/>
      </w:pPr>
      <w:r w:rsidRPr="00AD368E">
        <w:t>The carrier or TPA requires the employer to report the Average Monthly Premium data to them through some online form, email or paper form. They may also request the employer furnish other data required for the D1 at the same time. UHC is typical of this approach – UHC expects all of their groups (fully-insured, self-funded, or level-funded) to complete an online survey providing various data required for the D1 file through an online portal no later than March 3, 2023.</w:t>
      </w:r>
    </w:p>
    <w:p w14:paraId="2EB05D4F" w14:textId="6B34C5BD" w:rsidR="00AD368E" w:rsidRPr="00AD368E" w:rsidRDefault="00AD368E" w:rsidP="00AD368E">
      <w:pPr>
        <w:numPr>
          <w:ilvl w:val="0"/>
          <w:numId w:val="20"/>
        </w:numPr>
      </w:pPr>
      <w:r>
        <w:t xml:space="preserve">We have also seen a few carriers and TPAs decide they will simply not file the D1 and the employer will be responsible for submitting that file on its own. We saw this approach amongst a sizable minority of self-funded plan TPAs during the first round of reporting but are now seeing this approach </w:t>
      </w:r>
      <w:r w:rsidR="004F6DBA">
        <w:t xml:space="preserve">being </w:t>
      </w:r>
      <w:r>
        <w:t>adopted by some fully-insured carriers as well. If a carrier or TPA takes this approach, the employer will have to register with HIOS and prepare a P2 and D1 file to submit by June 1, 2023.</w:t>
      </w:r>
    </w:p>
    <w:p w14:paraId="0507F84B" w14:textId="77777777" w:rsidR="007207D6" w:rsidRPr="0005716B" w:rsidRDefault="007207D6" w:rsidP="007207D6">
      <w:pPr>
        <w:pStyle w:val="Heading2"/>
        <w:framePr w:wrap="around"/>
      </w:pPr>
      <w:r w:rsidRPr="0005716B">
        <w:t>Calculating Average Monthly Premiums</w:t>
      </w:r>
    </w:p>
    <w:p w14:paraId="015EA464" w14:textId="77777777" w:rsidR="00AC2BFA" w:rsidRDefault="00AC2BFA" w:rsidP="00AC2BFA"/>
    <w:p w14:paraId="748E5B5A" w14:textId="01709DAA" w:rsidR="00B343CE" w:rsidRPr="00EC00D3" w:rsidRDefault="00EC00D3" w:rsidP="00B343CE">
      <w:pPr>
        <w:rPr>
          <w:rFonts w:cstheme="minorHAnsi"/>
        </w:rPr>
      </w:pPr>
      <w:r w:rsidRPr="00EC00D3">
        <w:rPr>
          <w:rFonts w:cstheme="minorHAnsi"/>
        </w:rPr>
        <w:t xml:space="preserve">How does an employer go about calculating the Average Monthly Premium Paid by Members and Employer? The method outlined in the </w:t>
      </w:r>
      <w:proofErr w:type="spellStart"/>
      <w:r w:rsidRPr="00EC00D3">
        <w:rPr>
          <w:rFonts w:cstheme="minorHAnsi"/>
        </w:rPr>
        <w:t>RxDC</w:t>
      </w:r>
      <w:proofErr w:type="spellEnd"/>
      <w:r w:rsidRPr="00EC00D3">
        <w:rPr>
          <w:rFonts w:cstheme="minorHAnsi"/>
        </w:rPr>
        <w:t xml:space="preserve"> reporting Instructions involves a </w:t>
      </w:r>
      <w:r w:rsidR="00BC291A" w:rsidRPr="00EC00D3">
        <w:rPr>
          <w:rFonts w:cstheme="minorHAnsi"/>
        </w:rPr>
        <w:t>three-step</w:t>
      </w:r>
      <w:r w:rsidRPr="00EC00D3">
        <w:rPr>
          <w:rFonts w:cstheme="minorHAnsi"/>
        </w:rPr>
        <w:t xml:space="preserve"> process</w:t>
      </w:r>
      <w:r w:rsidR="008B0ADE">
        <w:rPr>
          <w:rFonts w:cstheme="minorHAnsi"/>
        </w:rPr>
        <w:t>:</w:t>
      </w:r>
    </w:p>
    <w:tbl>
      <w:tblPr>
        <w:tblStyle w:val="TableGrid1"/>
        <w:tblpPr w:leftFromText="180" w:rightFromText="180" w:vertAnchor="text" w:horzAnchor="margin" w:tblpX="-7" w:tblpY="7"/>
        <w:tblW w:w="105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hemeFill="accent5" w:themeFillTint="33"/>
        <w:tblCellMar>
          <w:top w:w="216" w:type="dxa"/>
          <w:left w:w="360" w:type="dxa"/>
          <w:bottom w:w="216" w:type="dxa"/>
          <w:right w:w="360" w:type="dxa"/>
        </w:tblCellMar>
        <w:tblLook w:val="04A0" w:firstRow="1" w:lastRow="0" w:firstColumn="1" w:lastColumn="0" w:noHBand="0" w:noVBand="1"/>
      </w:tblPr>
      <w:tblGrid>
        <w:gridCol w:w="10575"/>
      </w:tblGrid>
      <w:tr w:rsidR="00B343CE" w:rsidRPr="00A75476" w14:paraId="5C7C4747" w14:textId="77777777" w:rsidTr="00244837">
        <w:trPr>
          <w:cantSplit/>
          <w:trHeight w:val="458"/>
        </w:trPr>
        <w:tc>
          <w:tcPr>
            <w:tcW w:w="10575" w:type="dxa"/>
            <w:shd w:val="clear" w:color="auto" w:fill="DEEAF6" w:themeFill="accent5" w:themeFillTint="33"/>
            <w:vAlign w:val="center"/>
          </w:tcPr>
          <w:p w14:paraId="460F1065" w14:textId="6D86EE4F" w:rsidR="00B343CE" w:rsidRPr="00B343CE" w:rsidRDefault="00B343CE" w:rsidP="00A8458B">
            <w:pPr>
              <w:pStyle w:val="Heading3"/>
              <w:framePr w:hSpace="0" w:wrap="auto" w:vAnchor="margin" w:hAnchor="text" w:xAlign="left" w:yAlign="inline"/>
              <w:outlineLvl w:val="2"/>
            </w:pPr>
            <w:r w:rsidRPr="00B343CE">
              <w:t>S</w:t>
            </w:r>
            <w:r w:rsidR="00EC00D3">
              <w:t>tep 1</w:t>
            </w:r>
            <w:r w:rsidRPr="00B343CE">
              <w:t>:</w:t>
            </w:r>
            <w:r w:rsidR="00EC00D3">
              <w:t xml:space="preserve"> Calculate Total Member Months</w:t>
            </w:r>
            <w:r w:rsidRPr="00B343CE">
              <w:t> </w:t>
            </w:r>
          </w:p>
          <w:p w14:paraId="30B28585" w14:textId="3DD6EE97" w:rsidR="00A75476" w:rsidRDefault="00113158" w:rsidP="00A8458B">
            <w:r w:rsidRPr="00113158">
              <w:t>Choose one day of the month, e.g. 1</w:t>
            </w:r>
            <w:r w:rsidRPr="00113158">
              <w:rPr>
                <w:vertAlign w:val="superscript"/>
              </w:rPr>
              <w:t>st</w:t>
            </w:r>
            <w:r w:rsidRPr="00113158">
              <w:t xml:space="preserve"> of the month, 15</w:t>
            </w:r>
            <w:r w:rsidRPr="00113158">
              <w:rPr>
                <w:vertAlign w:val="superscript"/>
              </w:rPr>
              <w:t>th</w:t>
            </w:r>
            <w:r w:rsidRPr="00113158">
              <w:t xml:space="preserve"> of the month, </w:t>
            </w:r>
            <w:r w:rsidR="008B0ADE">
              <w:t xml:space="preserve">or </w:t>
            </w:r>
            <w:r w:rsidRPr="00113158">
              <w:t xml:space="preserve">last day of the month. For each calendar month in the reference year determine how many members were enrolled in each plan sponsored by </w:t>
            </w:r>
            <w:r w:rsidRPr="00113158">
              <w:lastRenderedPageBreak/>
              <w:t xml:space="preserve">the employer on the chosen day that month. “Members” includes not only active employees enrolled </w:t>
            </w:r>
            <w:r w:rsidR="00511CF4">
              <w:t>i</w:t>
            </w:r>
            <w:r w:rsidRPr="00113158">
              <w:t>n the plan but also dependents, COBRA enrollees, retirees, etc. Add up the 12 monthly member counts – this is Total Member Months for the year</w:t>
            </w:r>
            <w:r w:rsidR="00244837">
              <w:t>. For example:</w:t>
            </w:r>
          </w:p>
          <w:tbl>
            <w:tblPr>
              <w:tblStyle w:val="TableGrid"/>
              <w:tblW w:w="0" w:type="auto"/>
              <w:tblInd w:w="720" w:type="dxa"/>
              <w:tblLook w:val="04A0" w:firstRow="1" w:lastRow="0" w:firstColumn="1" w:lastColumn="0" w:noHBand="0" w:noVBand="1"/>
            </w:tblPr>
            <w:tblGrid>
              <w:gridCol w:w="4306"/>
              <w:gridCol w:w="4324"/>
            </w:tblGrid>
            <w:tr w:rsidR="00517DE5" w14:paraId="6B323007" w14:textId="77777777" w:rsidTr="00293FE1">
              <w:tc>
                <w:tcPr>
                  <w:tcW w:w="4306" w:type="dxa"/>
                  <w:shd w:val="clear" w:color="auto" w:fill="D9D9D9" w:themeFill="background1" w:themeFillShade="D9"/>
                  <w:vAlign w:val="center"/>
                </w:tcPr>
                <w:p w14:paraId="28658414" w14:textId="77777777" w:rsidR="00517DE5" w:rsidRPr="00F84045" w:rsidRDefault="00517DE5" w:rsidP="00F10594">
                  <w:pPr>
                    <w:framePr w:hSpace="180" w:wrap="around" w:vAnchor="text" w:hAnchor="margin" w:x="-7" w:y="7"/>
                    <w:spacing w:before="120" w:after="120"/>
                    <w:jc w:val="center"/>
                    <w:rPr>
                      <w:b/>
                      <w:bCs/>
                    </w:rPr>
                  </w:pPr>
                  <w:r w:rsidRPr="00F84045">
                    <w:rPr>
                      <w:b/>
                      <w:bCs/>
                    </w:rPr>
                    <w:t>Date</w:t>
                  </w:r>
                </w:p>
              </w:tc>
              <w:tc>
                <w:tcPr>
                  <w:tcW w:w="4324" w:type="dxa"/>
                  <w:shd w:val="clear" w:color="auto" w:fill="D9D9D9" w:themeFill="background1" w:themeFillShade="D9"/>
                  <w:vAlign w:val="center"/>
                </w:tcPr>
                <w:p w14:paraId="5988ABC3" w14:textId="77777777" w:rsidR="00517DE5" w:rsidRPr="00F84045" w:rsidRDefault="00517DE5" w:rsidP="00F10594">
                  <w:pPr>
                    <w:framePr w:hSpace="180" w:wrap="around" w:vAnchor="text" w:hAnchor="margin" w:x="-7" w:y="7"/>
                    <w:spacing w:before="120" w:after="120"/>
                    <w:jc w:val="center"/>
                    <w:rPr>
                      <w:b/>
                      <w:bCs/>
                    </w:rPr>
                  </w:pPr>
                  <w:r w:rsidRPr="00F84045">
                    <w:rPr>
                      <w:b/>
                      <w:bCs/>
                    </w:rPr>
                    <w:t xml:space="preserve">Members Covered on the </w:t>
                  </w:r>
                  <w:r>
                    <w:rPr>
                      <w:b/>
                      <w:bCs/>
                    </w:rPr>
                    <w:t>G</w:t>
                  </w:r>
                  <w:r w:rsidRPr="00F84045">
                    <w:rPr>
                      <w:b/>
                      <w:bCs/>
                    </w:rPr>
                    <w:t xml:space="preserve">iven </w:t>
                  </w:r>
                  <w:r>
                    <w:rPr>
                      <w:b/>
                      <w:bCs/>
                    </w:rPr>
                    <w:t>D</w:t>
                  </w:r>
                  <w:r w:rsidRPr="00F84045">
                    <w:rPr>
                      <w:b/>
                      <w:bCs/>
                    </w:rPr>
                    <w:t>ate</w:t>
                  </w:r>
                </w:p>
              </w:tc>
            </w:tr>
            <w:tr w:rsidR="00517DE5" w14:paraId="76D33F9C" w14:textId="77777777" w:rsidTr="00293FE1">
              <w:tc>
                <w:tcPr>
                  <w:tcW w:w="4306" w:type="dxa"/>
                </w:tcPr>
                <w:p w14:paraId="7F6974B9" w14:textId="77777777" w:rsidR="00517DE5" w:rsidRDefault="00517DE5" w:rsidP="00F10594">
                  <w:pPr>
                    <w:framePr w:hSpace="180" w:wrap="around" w:vAnchor="text" w:hAnchor="margin" w:x="-7" w:y="7"/>
                  </w:pPr>
                  <w:r>
                    <w:t>January 1, 2022</w:t>
                  </w:r>
                </w:p>
              </w:tc>
              <w:tc>
                <w:tcPr>
                  <w:tcW w:w="4324" w:type="dxa"/>
                </w:tcPr>
                <w:p w14:paraId="0BAFEAE6" w14:textId="77777777" w:rsidR="00517DE5" w:rsidRDefault="00517DE5" w:rsidP="00F10594">
                  <w:pPr>
                    <w:framePr w:hSpace="180" w:wrap="around" w:vAnchor="text" w:hAnchor="margin" w:x="-7" w:y="7"/>
                    <w:jc w:val="center"/>
                  </w:pPr>
                  <w:r>
                    <w:t>882</w:t>
                  </w:r>
                </w:p>
              </w:tc>
            </w:tr>
            <w:tr w:rsidR="00517DE5" w14:paraId="5306CEC8" w14:textId="77777777" w:rsidTr="00293FE1">
              <w:tc>
                <w:tcPr>
                  <w:tcW w:w="4306" w:type="dxa"/>
                </w:tcPr>
                <w:p w14:paraId="213C3D82" w14:textId="77777777" w:rsidR="00517DE5" w:rsidRDefault="00517DE5" w:rsidP="00F10594">
                  <w:pPr>
                    <w:framePr w:hSpace="180" w:wrap="around" w:vAnchor="text" w:hAnchor="margin" w:x="-7" w:y="7"/>
                  </w:pPr>
                  <w:r>
                    <w:t>February 1, 2022</w:t>
                  </w:r>
                </w:p>
              </w:tc>
              <w:tc>
                <w:tcPr>
                  <w:tcW w:w="4324" w:type="dxa"/>
                </w:tcPr>
                <w:p w14:paraId="1F106531" w14:textId="77777777" w:rsidR="00517DE5" w:rsidRDefault="00517DE5" w:rsidP="00F10594">
                  <w:pPr>
                    <w:framePr w:hSpace="180" w:wrap="around" w:vAnchor="text" w:hAnchor="margin" w:x="-7" w:y="7"/>
                    <w:jc w:val="center"/>
                  </w:pPr>
                  <w:r>
                    <w:t>872</w:t>
                  </w:r>
                </w:p>
              </w:tc>
            </w:tr>
            <w:tr w:rsidR="00517DE5" w14:paraId="698CC311" w14:textId="77777777" w:rsidTr="00293FE1">
              <w:tc>
                <w:tcPr>
                  <w:tcW w:w="4306" w:type="dxa"/>
                </w:tcPr>
                <w:p w14:paraId="4737C185" w14:textId="77777777" w:rsidR="00517DE5" w:rsidRDefault="00517DE5" w:rsidP="00F10594">
                  <w:pPr>
                    <w:framePr w:hSpace="180" w:wrap="around" w:vAnchor="text" w:hAnchor="margin" w:x="-7" w:y="7"/>
                  </w:pPr>
                  <w:r>
                    <w:t>March 1, 2022</w:t>
                  </w:r>
                </w:p>
              </w:tc>
              <w:tc>
                <w:tcPr>
                  <w:tcW w:w="4324" w:type="dxa"/>
                </w:tcPr>
                <w:p w14:paraId="4107F69D" w14:textId="77777777" w:rsidR="00517DE5" w:rsidRDefault="00517DE5" w:rsidP="00F10594">
                  <w:pPr>
                    <w:framePr w:hSpace="180" w:wrap="around" w:vAnchor="text" w:hAnchor="margin" w:x="-7" w:y="7"/>
                    <w:jc w:val="center"/>
                  </w:pPr>
                  <w:r>
                    <w:t>884</w:t>
                  </w:r>
                </w:p>
              </w:tc>
            </w:tr>
            <w:tr w:rsidR="00517DE5" w14:paraId="665D8154" w14:textId="77777777" w:rsidTr="00293FE1">
              <w:tc>
                <w:tcPr>
                  <w:tcW w:w="4306" w:type="dxa"/>
                </w:tcPr>
                <w:p w14:paraId="582461CE" w14:textId="77777777" w:rsidR="00517DE5" w:rsidRDefault="00517DE5" w:rsidP="00F10594">
                  <w:pPr>
                    <w:framePr w:hSpace="180" w:wrap="around" w:vAnchor="text" w:hAnchor="margin" w:x="-7" w:y="7"/>
                  </w:pPr>
                  <w:r>
                    <w:t>April 1, 2022</w:t>
                  </w:r>
                </w:p>
              </w:tc>
              <w:tc>
                <w:tcPr>
                  <w:tcW w:w="4324" w:type="dxa"/>
                </w:tcPr>
                <w:p w14:paraId="06C8F4A1" w14:textId="77777777" w:rsidR="00517DE5" w:rsidRDefault="00517DE5" w:rsidP="00F10594">
                  <w:pPr>
                    <w:framePr w:hSpace="180" w:wrap="around" w:vAnchor="text" w:hAnchor="margin" w:x="-7" w:y="7"/>
                    <w:jc w:val="center"/>
                  </w:pPr>
                  <w:r>
                    <w:t>921</w:t>
                  </w:r>
                </w:p>
              </w:tc>
            </w:tr>
            <w:tr w:rsidR="00517DE5" w14:paraId="6C91B4C5" w14:textId="77777777" w:rsidTr="00293FE1">
              <w:tc>
                <w:tcPr>
                  <w:tcW w:w="4306" w:type="dxa"/>
                </w:tcPr>
                <w:p w14:paraId="2C37603D" w14:textId="77777777" w:rsidR="00517DE5" w:rsidRDefault="00517DE5" w:rsidP="00F10594">
                  <w:pPr>
                    <w:framePr w:hSpace="180" w:wrap="around" w:vAnchor="text" w:hAnchor="margin" w:x="-7" w:y="7"/>
                  </w:pPr>
                  <w:r>
                    <w:t>May 1, 2022</w:t>
                  </w:r>
                </w:p>
              </w:tc>
              <w:tc>
                <w:tcPr>
                  <w:tcW w:w="4324" w:type="dxa"/>
                </w:tcPr>
                <w:p w14:paraId="6373CD23" w14:textId="77777777" w:rsidR="00517DE5" w:rsidRDefault="00517DE5" w:rsidP="00F10594">
                  <w:pPr>
                    <w:framePr w:hSpace="180" w:wrap="around" w:vAnchor="text" w:hAnchor="margin" w:x="-7" w:y="7"/>
                    <w:jc w:val="center"/>
                  </w:pPr>
                  <w:r>
                    <w:t>924</w:t>
                  </w:r>
                </w:p>
              </w:tc>
            </w:tr>
            <w:tr w:rsidR="00517DE5" w14:paraId="5CE142AC" w14:textId="77777777" w:rsidTr="00293FE1">
              <w:tc>
                <w:tcPr>
                  <w:tcW w:w="4306" w:type="dxa"/>
                </w:tcPr>
                <w:p w14:paraId="2CD0C97A" w14:textId="77777777" w:rsidR="00517DE5" w:rsidRDefault="00517DE5" w:rsidP="00F10594">
                  <w:pPr>
                    <w:framePr w:hSpace="180" w:wrap="around" w:vAnchor="text" w:hAnchor="margin" w:x="-7" w:y="7"/>
                  </w:pPr>
                  <w:r>
                    <w:t>June 1, 2022</w:t>
                  </w:r>
                </w:p>
              </w:tc>
              <w:tc>
                <w:tcPr>
                  <w:tcW w:w="4324" w:type="dxa"/>
                </w:tcPr>
                <w:p w14:paraId="60CE13FA" w14:textId="77777777" w:rsidR="00517DE5" w:rsidRDefault="00517DE5" w:rsidP="00F10594">
                  <w:pPr>
                    <w:framePr w:hSpace="180" w:wrap="around" w:vAnchor="text" w:hAnchor="margin" w:x="-7" w:y="7"/>
                    <w:jc w:val="center"/>
                  </w:pPr>
                  <w:r>
                    <w:t>923</w:t>
                  </w:r>
                </w:p>
              </w:tc>
            </w:tr>
            <w:tr w:rsidR="00517DE5" w14:paraId="4B2C67B5" w14:textId="77777777" w:rsidTr="00293FE1">
              <w:tc>
                <w:tcPr>
                  <w:tcW w:w="4306" w:type="dxa"/>
                </w:tcPr>
                <w:p w14:paraId="48C7AD0E" w14:textId="77777777" w:rsidR="00517DE5" w:rsidRDefault="00517DE5" w:rsidP="00F10594">
                  <w:pPr>
                    <w:framePr w:hSpace="180" w:wrap="around" w:vAnchor="text" w:hAnchor="margin" w:x="-7" w:y="7"/>
                  </w:pPr>
                  <w:r>
                    <w:t>July 1, 2022</w:t>
                  </w:r>
                </w:p>
              </w:tc>
              <w:tc>
                <w:tcPr>
                  <w:tcW w:w="4324" w:type="dxa"/>
                </w:tcPr>
                <w:p w14:paraId="2F46D37E" w14:textId="77777777" w:rsidR="00517DE5" w:rsidRDefault="00517DE5" w:rsidP="00F10594">
                  <w:pPr>
                    <w:framePr w:hSpace="180" w:wrap="around" w:vAnchor="text" w:hAnchor="margin" w:x="-7" w:y="7"/>
                    <w:jc w:val="center"/>
                  </w:pPr>
                  <w:r>
                    <w:t>925</w:t>
                  </w:r>
                </w:p>
              </w:tc>
            </w:tr>
            <w:tr w:rsidR="00517DE5" w14:paraId="7EC21E74" w14:textId="77777777" w:rsidTr="00293FE1">
              <w:tc>
                <w:tcPr>
                  <w:tcW w:w="4306" w:type="dxa"/>
                </w:tcPr>
                <w:p w14:paraId="019369EB" w14:textId="77777777" w:rsidR="00517DE5" w:rsidRDefault="00517DE5" w:rsidP="00F10594">
                  <w:pPr>
                    <w:framePr w:hSpace="180" w:wrap="around" w:vAnchor="text" w:hAnchor="margin" w:x="-7" w:y="7"/>
                  </w:pPr>
                  <w:r>
                    <w:t>August 1, 2022</w:t>
                  </w:r>
                </w:p>
              </w:tc>
              <w:tc>
                <w:tcPr>
                  <w:tcW w:w="4324" w:type="dxa"/>
                </w:tcPr>
                <w:p w14:paraId="0F5303B6" w14:textId="77777777" w:rsidR="00517DE5" w:rsidRDefault="00517DE5" w:rsidP="00F10594">
                  <w:pPr>
                    <w:framePr w:hSpace="180" w:wrap="around" w:vAnchor="text" w:hAnchor="margin" w:x="-7" w:y="7"/>
                    <w:jc w:val="center"/>
                  </w:pPr>
                  <w:r>
                    <w:t>916</w:t>
                  </w:r>
                </w:p>
              </w:tc>
            </w:tr>
            <w:tr w:rsidR="00517DE5" w14:paraId="3B99122E" w14:textId="77777777" w:rsidTr="00293FE1">
              <w:tc>
                <w:tcPr>
                  <w:tcW w:w="4306" w:type="dxa"/>
                </w:tcPr>
                <w:p w14:paraId="78173C77" w14:textId="77777777" w:rsidR="00517DE5" w:rsidRDefault="00517DE5" w:rsidP="00F10594">
                  <w:pPr>
                    <w:framePr w:hSpace="180" w:wrap="around" w:vAnchor="text" w:hAnchor="margin" w:x="-7" w:y="7"/>
                  </w:pPr>
                  <w:r>
                    <w:t>September 1, 2022</w:t>
                  </w:r>
                </w:p>
              </w:tc>
              <w:tc>
                <w:tcPr>
                  <w:tcW w:w="4324" w:type="dxa"/>
                </w:tcPr>
                <w:p w14:paraId="2E778E41" w14:textId="77777777" w:rsidR="00517DE5" w:rsidRDefault="00517DE5" w:rsidP="00F10594">
                  <w:pPr>
                    <w:framePr w:hSpace="180" w:wrap="around" w:vAnchor="text" w:hAnchor="margin" w:x="-7" w:y="7"/>
                    <w:jc w:val="center"/>
                  </w:pPr>
                  <w:r>
                    <w:t>907</w:t>
                  </w:r>
                </w:p>
              </w:tc>
            </w:tr>
            <w:tr w:rsidR="00517DE5" w14:paraId="61C7B522" w14:textId="77777777" w:rsidTr="00293FE1">
              <w:tc>
                <w:tcPr>
                  <w:tcW w:w="4306" w:type="dxa"/>
                </w:tcPr>
                <w:p w14:paraId="7A5B3BE2" w14:textId="77777777" w:rsidR="00517DE5" w:rsidRDefault="00517DE5" w:rsidP="00F10594">
                  <w:pPr>
                    <w:framePr w:hSpace="180" w:wrap="around" w:vAnchor="text" w:hAnchor="margin" w:x="-7" w:y="7"/>
                  </w:pPr>
                  <w:r>
                    <w:t>October 1, 2022</w:t>
                  </w:r>
                </w:p>
              </w:tc>
              <w:tc>
                <w:tcPr>
                  <w:tcW w:w="4324" w:type="dxa"/>
                </w:tcPr>
                <w:p w14:paraId="191550C1" w14:textId="77777777" w:rsidR="00517DE5" w:rsidRDefault="00517DE5" w:rsidP="00F10594">
                  <w:pPr>
                    <w:framePr w:hSpace="180" w:wrap="around" w:vAnchor="text" w:hAnchor="margin" w:x="-7" w:y="7"/>
                    <w:jc w:val="center"/>
                  </w:pPr>
                  <w:r>
                    <w:t>906</w:t>
                  </w:r>
                </w:p>
              </w:tc>
            </w:tr>
            <w:tr w:rsidR="00517DE5" w14:paraId="01C5D08F" w14:textId="77777777" w:rsidTr="00293FE1">
              <w:tc>
                <w:tcPr>
                  <w:tcW w:w="4306" w:type="dxa"/>
                </w:tcPr>
                <w:p w14:paraId="457CBBF5" w14:textId="77777777" w:rsidR="00517DE5" w:rsidRDefault="00517DE5" w:rsidP="00F10594">
                  <w:pPr>
                    <w:framePr w:hSpace="180" w:wrap="around" w:vAnchor="text" w:hAnchor="margin" w:x="-7" w:y="7"/>
                  </w:pPr>
                  <w:r>
                    <w:t>November 1, 2022</w:t>
                  </w:r>
                </w:p>
              </w:tc>
              <w:tc>
                <w:tcPr>
                  <w:tcW w:w="4324" w:type="dxa"/>
                </w:tcPr>
                <w:p w14:paraId="5D438157" w14:textId="77777777" w:rsidR="00517DE5" w:rsidRDefault="00517DE5" w:rsidP="00F10594">
                  <w:pPr>
                    <w:framePr w:hSpace="180" w:wrap="around" w:vAnchor="text" w:hAnchor="margin" w:x="-7" w:y="7"/>
                    <w:jc w:val="center"/>
                  </w:pPr>
                  <w:r>
                    <w:t>902</w:t>
                  </w:r>
                </w:p>
              </w:tc>
            </w:tr>
            <w:tr w:rsidR="00517DE5" w14:paraId="1870806D" w14:textId="77777777" w:rsidTr="00293FE1">
              <w:tc>
                <w:tcPr>
                  <w:tcW w:w="4306" w:type="dxa"/>
                </w:tcPr>
                <w:p w14:paraId="1CDEAB49" w14:textId="77777777" w:rsidR="00517DE5" w:rsidRDefault="00517DE5" w:rsidP="00F10594">
                  <w:pPr>
                    <w:framePr w:hSpace="180" w:wrap="around" w:vAnchor="text" w:hAnchor="margin" w:x="-7" w:y="7"/>
                  </w:pPr>
                  <w:r>
                    <w:t>December 1, 2022</w:t>
                  </w:r>
                </w:p>
              </w:tc>
              <w:tc>
                <w:tcPr>
                  <w:tcW w:w="4324" w:type="dxa"/>
                </w:tcPr>
                <w:p w14:paraId="255DBEE1" w14:textId="77777777" w:rsidR="00517DE5" w:rsidRDefault="00517DE5" w:rsidP="00F10594">
                  <w:pPr>
                    <w:framePr w:hSpace="180" w:wrap="around" w:vAnchor="text" w:hAnchor="margin" w:x="-7" w:y="7"/>
                    <w:jc w:val="center"/>
                  </w:pPr>
                  <w:r>
                    <w:t>869</w:t>
                  </w:r>
                </w:p>
              </w:tc>
            </w:tr>
            <w:tr w:rsidR="00517DE5" w14:paraId="2AAB02D6" w14:textId="77777777" w:rsidTr="00293FE1">
              <w:tc>
                <w:tcPr>
                  <w:tcW w:w="4306" w:type="dxa"/>
                </w:tcPr>
                <w:p w14:paraId="2EFBA267" w14:textId="77777777" w:rsidR="00517DE5" w:rsidRPr="00553797" w:rsidRDefault="00517DE5" w:rsidP="00F10594">
                  <w:pPr>
                    <w:framePr w:hSpace="180" w:wrap="around" w:vAnchor="text" w:hAnchor="margin" w:x="-7" w:y="7"/>
                    <w:rPr>
                      <w:b/>
                      <w:bCs/>
                    </w:rPr>
                  </w:pPr>
                  <w:r w:rsidRPr="00553797">
                    <w:rPr>
                      <w:b/>
                      <w:bCs/>
                    </w:rPr>
                    <w:t>Total Member Months</w:t>
                  </w:r>
                </w:p>
              </w:tc>
              <w:tc>
                <w:tcPr>
                  <w:tcW w:w="4324" w:type="dxa"/>
                </w:tcPr>
                <w:p w14:paraId="069203DE" w14:textId="77777777" w:rsidR="00517DE5" w:rsidRPr="00096EA3" w:rsidRDefault="00517DE5" w:rsidP="00F10594">
                  <w:pPr>
                    <w:framePr w:hSpace="180" w:wrap="around" w:vAnchor="text" w:hAnchor="margin" w:x="-7" w:y="7"/>
                    <w:jc w:val="center"/>
                    <w:rPr>
                      <w:b/>
                      <w:bCs/>
                    </w:rPr>
                  </w:pPr>
                  <w:r w:rsidRPr="00096EA3">
                    <w:rPr>
                      <w:b/>
                      <w:bCs/>
                    </w:rPr>
                    <w:t>10,831</w:t>
                  </w:r>
                </w:p>
              </w:tc>
            </w:tr>
          </w:tbl>
          <w:p w14:paraId="0047C5CF" w14:textId="0562E92E" w:rsidR="00244837" w:rsidRPr="00B343CE" w:rsidRDefault="00A07C69" w:rsidP="00A07C69">
            <w:pPr>
              <w:spacing w:before="240"/>
            </w:pPr>
            <w:r>
              <w:t>Employers may need to consult census report</w:t>
            </w:r>
            <w:r w:rsidR="00236665">
              <w:t>s</w:t>
            </w:r>
            <w:r>
              <w:t xml:space="preserve"> from their carrier/TPA to determine the number of members enrolled each month if the employer does not regularly track this information. Given that the </w:t>
            </w:r>
            <w:proofErr w:type="spellStart"/>
            <w:r>
              <w:t>RxDC</w:t>
            </w:r>
            <w:proofErr w:type="spellEnd"/>
            <w:r>
              <w:t xml:space="preserve"> is an annual reporting requirement, employers may want to consider modifying their HRIS or benefit enrollment system to capture total members each month on an ongoing basis rather than poring over census reports after the fact to recreate those numbers.</w:t>
            </w:r>
          </w:p>
        </w:tc>
      </w:tr>
    </w:tbl>
    <w:p w14:paraId="475698D4" w14:textId="77777777" w:rsidR="00A230B5" w:rsidRDefault="00A230B5" w:rsidP="00A75476"/>
    <w:tbl>
      <w:tblPr>
        <w:tblStyle w:val="TableGrid1"/>
        <w:tblpPr w:leftFromText="180" w:rightFromText="180" w:vertAnchor="text" w:horzAnchor="margin" w:tblpY="143"/>
        <w:tblW w:w="106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hemeFill="accent5" w:themeFillTint="33"/>
        <w:tblCellMar>
          <w:top w:w="216" w:type="dxa"/>
          <w:left w:w="360" w:type="dxa"/>
          <w:bottom w:w="216" w:type="dxa"/>
          <w:right w:w="360" w:type="dxa"/>
        </w:tblCellMar>
        <w:tblLook w:val="04A0" w:firstRow="1" w:lastRow="0" w:firstColumn="1" w:lastColumn="0" w:noHBand="0" w:noVBand="1"/>
      </w:tblPr>
      <w:tblGrid>
        <w:gridCol w:w="10615"/>
      </w:tblGrid>
      <w:tr w:rsidR="000C0275" w:rsidRPr="00A75476" w14:paraId="3EFAED36" w14:textId="77777777" w:rsidTr="00081B9E">
        <w:trPr>
          <w:trHeight w:val="458"/>
        </w:trPr>
        <w:tc>
          <w:tcPr>
            <w:tcW w:w="10615" w:type="dxa"/>
            <w:shd w:val="clear" w:color="auto" w:fill="DEEAF6" w:themeFill="accent5" w:themeFillTint="33"/>
            <w:vAlign w:val="center"/>
          </w:tcPr>
          <w:p w14:paraId="0EFFC371" w14:textId="6C2F6F29" w:rsidR="000C0275" w:rsidRPr="00B343CE" w:rsidRDefault="00812EEA" w:rsidP="000C0275">
            <w:pPr>
              <w:pStyle w:val="Heading3"/>
              <w:framePr w:hSpace="0" w:wrap="auto" w:vAnchor="margin" w:hAnchor="text" w:xAlign="left" w:yAlign="inline"/>
              <w:outlineLvl w:val="2"/>
            </w:pPr>
            <w:r>
              <w:t>Step 2</w:t>
            </w:r>
            <w:r w:rsidR="000C0275" w:rsidRPr="00B343CE">
              <w:t>:</w:t>
            </w:r>
            <w:r>
              <w:t xml:space="preserve"> </w:t>
            </w:r>
            <w:r w:rsidR="00081B9E" w:rsidRPr="00081B9E">
              <w:rPr>
                <w:rFonts w:asciiTheme="minorHAnsi" w:eastAsiaTheme="minorHAnsi" w:hAnsiTheme="minorHAnsi" w:cstheme="minorBidi"/>
                <w:color w:val="auto"/>
                <w:sz w:val="22"/>
                <w:szCs w:val="22"/>
                <w:lang w:bidi="ar-SA"/>
              </w:rPr>
              <w:t xml:space="preserve"> </w:t>
            </w:r>
            <w:r w:rsidR="00081B9E" w:rsidRPr="00081B9E">
              <w:t>Calculate Total Premiums Paid by Members and Total Premiums Paid By Employer.</w:t>
            </w:r>
            <w:r w:rsidR="000C0275" w:rsidRPr="00B343CE">
              <w:t> </w:t>
            </w:r>
          </w:p>
          <w:p w14:paraId="23C6432C" w14:textId="6F601FFC" w:rsidR="001B1C54" w:rsidRDefault="001B1C54" w:rsidP="001B1C54">
            <w:pPr>
              <w:spacing w:before="240"/>
            </w:pPr>
            <w:r w:rsidRPr="001B1C54">
              <w:t xml:space="preserve">Add up all the premiums paid by members over the course of the reference year, regardless of plan option, coverage tier, or rate structure. Then do the same for all premiums paid by the employer over the course of the reference year. </w:t>
            </w:r>
          </w:p>
          <w:p w14:paraId="210B063C" w14:textId="254E5B04" w:rsidR="000C0275" w:rsidRPr="00B343CE" w:rsidRDefault="001B1C54" w:rsidP="000118B9">
            <w:pPr>
              <w:spacing w:before="240"/>
            </w:pPr>
            <w:r w:rsidRPr="001B1C54">
              <w:t xml:space="preserve">For self-funded plans, use premium equivalents taking into account the same costs used to calculate the COBRA rate but not including the 2% COBRA admin fee. CMS has indicated they expect the premium equivalents reported in the D1 file to be the premium equivalents based on actual plan costs </w:t>
            </w:r>
            <w:r w:rsidR="00BD2B97">
              <w:t>for</w:t>
            </w:r>
            <w:r w:rsidRPr="001B1C54">
              <w:t xml:space="preserve"> the </w:t>
            </w:r>
            <w:r w:rsidR="00BD2B97">
              <w:t xml:space="preserve">reference </w:t>
            </w:r>
            <w:r w:rsidRPr="001B1C54">
              <w:t xml:space="preserve">year. For most self-funded plans, the COBRA premiums are calculated at the start of the plan year using expected costs, which </w:t>
            </w:r>
            <w:r w:rsidRPr="001B1C54">
              <w:lastRenderedPageBreak/>
              <w:t>is likely a different number than the premium equivalent based on actual plan costs for the</w:t>
            </w:r>
            <w:r w:rsidR="00400411">
              <w:t xml:space="preserve"> reference</w:t>
            </w:r>
            <w:r w:rsidRPr="001B1C54">
              <w:t xml:space="preserve"> year that CMS is looking for</w:t>
            </w:r>
            <w:r>
              <w:t>.</w:t>
            </w:r>
          </w:p>
        </w:tc>
      </w:tr>
    </w:tbl>
    <w:p w14:paraId="4C1FCD48" w14:textId="60689CCD" w:rsidR="00E2182D" w:rsidRPr="00E2182D" w:rsidRDefault="00E2182D" w:rsidP="00A75476"/>
    <w:tbl>
      <w:tblPr>
        <w:tblStyle w:val="TableGrid1"/>
        <w:tblpPr w:leftFromText="180" w:rightFromText="180" w:vertAnchor="text" w:horzAnchor="margin" w:tblpY="-37"/>
        <w:tblW w:w="106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hemeFill="accent5" w:themeFillTint="33"/>
        <w:tblCellMar>
          <w:top w:w="216" w:type="dxa"/>
          <w:left w:w="360" w:type="dxa"/>
          <w:bottom w:w="216" w:type="dxa"/>
          <w:right w:w="360" w:type="dxa"/>
        </w:tblCellMar>
        <w:tblLook w:val="04A0" w:firstRow="1" w:lastRow="0" w:firstColumn="1" w:lastColumn="0" w:noHBand="0" w:noVBand="1"/>
      </w:tblPr>
      <w:tblGrid>
        <w:gridCol w:w="10615"/>
      </w:tblGrid>
      <w:tr w:rsidR="000C0275" w:rsidRPr="00A75476" w14:paraId="3D827149" w14:textId="77777777" w:rsidTr="000118B9">
        <w:trPr>
          <w:trHeight w:val="458"/>
        </w:trPr>
        <w:tc>
          <w:tcPr>
            <w:tcW w:w="10615" w:type="dxa"/>
            <w:shd w:val="clear" w:color="auto" w:fill="DEEAF6" w:themeFill="accent5" w:themeFillTint="33"/>
            <w:vAlign w:val="center"/>
          </w:tcPr>
          <w:p w14:paraId="6A3EA86C" w14:textId="1F6DB200" w:rsidR="000C0275" w:rsidRPr="00B343CE" w:rsidRDefault="000118B9" w:rsidP="000C0275">
            <w:pPr>
              <w:pStyle w:val="Heading3"/>
              <w:framePr w:hSpace="0" w:wrap="auto" w:vAnchor="margin" w:hAnchor="text" w:xAlign="left" w:yAlign="inline"/>
              <w:outlineLvl w:val="2"/>
            </w:pPr>
            <w:r>
              <w:t>Step 3</w:t>
            </w:r>
            <w:r w:rsidR="000C0275" w:rsidRPr="00B343CE">
              <w:t>:</w:t>
            </w:r>
            <w:r>
              <w:t xml:space="preserve"> </w:t>
            </w:r>
            <w:r w:rsidR="0022013D" w:rsidRPr="0022013D">
              <w:rPr>
                <w:rFonts w:asciiTheme="minorHAnsi" w:eastAsiaTheme="minorHAnsi" w:hAnsiTheme="minorHAnsi" w:cstheme="minorBidi"/>
                <w:color w:val="auto"/>
                <w:sz w:val="22"/>
                <w:szCs w:val="22"/>
                <w:lang w:bidi="ar-SA"/>
              </w:rPr>
              <w:t xml:space="preserve"> </w:t>
            </w:r>
            <w:r w:rsidR="0022013D" w:rsidRPr="0022013D">
              <w:t>Calculate Average Monthly Premiums.</w:t>
            </w:r>
            <w:r w:rsidR="000C0275" w:rsidRPr="00B343CE">
              <w:t> </w:t>
            </w:r>
          </w:p>
          <w:p w14:paraId="4ADDE40C" w14:textId="1055BC31" w:rsidR="000C0275" w:rsidRPr="00B343CE" w:rsidRDefault="000D3408" w:rsidP="000C0275">
            <w:r w:rsidRPr="000D3408">
              <w:t xml:space="preserve">The Average Monthly Premiums Paid </w:t>
            </w:r>
            <w:r w:rsidR="007375F3">
              <w:t>b</w:t>
            </w:r>
            <w:r w:rsidRPr="000D3408">
              <w:t>y Members is the total annual premiums paid by members divided by the Total Member Months. Likewise</w:t>
            </w:r>
            <w:r w:rsidR="007375F3">
              <w:t>,</w:t>
            </w:r>
            <w:r w:rsidRPr="000D3408">
              <w:t xml:space="preserve"> the Average Monthly Premiums Paid </w:t>
            </w:r>
            <w:r w:rsidR="007375F3">
              <w:t>b</w:t>
            </w:r>
            <w:r w:rsidRPr="000D3408">
              <w:t>y Employer is then total annual premiums paid by the employer divided by Total Member Months.</w:t>
            </w:r>
          </w:p>
        </w:tc>
      </w:tr>
    </w:tbl>
    <w:p w14:paraId="61B867EA" w14:textId="4A067CAC" w:rsidR="00B841AB" w:rsidRPr="00B841AB" w:rsidRDefault="00B841AB" w:rsidP="00B841AB">
      <w:pPr>
        <w:spacing w:before="240"/>
      </w:pPr>
      <w:r w:rsidRPr="00B841AB">
        <w:t>In most cases, an employer should end up with a single amount for Average Monthly Premium Paid by Members and Employer, regardless of how many plans, coverage tiers, or rate structures it maintains. The exception would be if the employer (or the carrier or TPA on the employer’s behalf) is required report different plans on different lines in the D1 file. This may occur, for example, if the employer offers different plans from different carriers or TPAs or if the employer offers a mix of self-funded and fully-insured plans. In that case, the employer will need to calculate a separate Average Monthly Premium for each plan or plans required to be reported on a separate line of the D1 file.</w:t>
      </w:r>
    </w:p>
    <w:p w14:paraId="7A777730" w14:textId="14ABACE1" w:rsidR="00B841AB" w:rsidRPr="00B841AB" w:rsidRDefault="00B841AB" w:rsidP="00B841AB">
      <w:r w:rsidRPr="00B841AB">
        <w:t xml:space="preserve">How concerned should an employer be with getting this calculation exactly right? While employers should do their best to provide an accurate answer, </w:t>
      </w:r>
      <w:r w:rsidR="00FA3DD7" w:rsidRPr="00B841AB">
        <w:t>in</w:t>
      </w:r>
      <w:r w:rsidRPr="00B841AB">
        <w:t xml:space="preserve"> our opinion, any minor errors in the calculation </w:t>
      </w:r>
      <w:r w:rsidR="00E735B1">
        <w:t>are</w:t>
      </w:r>
      <w:r w:rsidRPr="00B841AB">
        <w:t xml:space="preserve"> unlikely to be significant.  A carrier or TPA filing a D1 on </w:t>
      </w:r>
      <w:r w:rsidR="00FA3DD7" w:rsidRPr="00B841AB">
        <w:t>its</w:t>
      </w:r>
      <w:r w:rsidRPr="00B841AB">
        <w:t xml:space="preserve"> groups</w:t>
      </w:r>
      <w:r w:rsidR="00DE6657">
        <w:t>’</w:t>
      </w:r>
      <w:r w:rsidRPr="00B841AB">
        <w:t xml:space="preserve"> behalf is required to aggregate the Average Monthly Premium across its entire book of business by state and market segment. In other words, CMS will not see any one employer’s data but rather a grand weighted average across hundreds or even thousands of employers</w:t>
      </w:r>
      <w:r w:rsidR="00DE6657">
        <w:t>. Therefore,</w:t>
      </w:r>
      <w:r w:rsidRPr="00B841AB">
        <w:t xml:space="preserve"> a small error in one employer’s data will not have a significant impact on the overall data being reported. </w:t>
      </w:r>
    </w:p>
    <w:p w14:paraId="413BDDF5" w14:textId="77777777" w:rsidR="00A07A7C" w:rsidRPr="00A07A7C" w:rsidRDefault="00A07A7C" w:rsidP="00A07A7C">
      <w:pPr>
        <w:pStyle w:val="Heading2"/>
        <w:framePr w:wrap="around"/>
      </w:pPr>
      <w:r w:rsidRPr="00A07A7C">
        <w:t>Other D1 Fields</w:t>
      </w:r>
    </w:p>
    <w:p w14:paraId="514F040D" w14:textId="77777777" w:rsidR="000D3408" w:rsidRDefault="000D3408" w:rsidP="00A75476"/>
    <w:p w14:paraId="44586E28" w14:textId="36C53938" w:rsidR="00B90582" w:rsidRDefault="007B7B78" w:rsidP="007B7B78">
      <w:r w:rsidRPr="007B7B78">
        <w:t>For those employers unfortunate enough to have to complete their own D1 or whose carrier/TPA requests additional information</w:t>
      </w:r>
      <w:r w:rsidR="006B5F3D">
        <w:t>,</w:t>
      </w:r>
      <w:r w:rsidRPr="007B7B78">
        <w:t xml:space="preserve"> here are some pointers on how to complete the remaining D1 fields</w:t>
      </w:r>
      <w:r w:rsidR="006B5F3D">
        <w:t>:</w:t>
      </w:r>
    </w:p>
    <w:tbl>
      <w:tblPr>
        <w:tblStyle w:val="TableGrid"/>
        <w:tblW w:w="10435" w:type="dxa"/>
        <w:tblCellSpacing w:w="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16" w:type="dxa"/>
          <w:left w:w="216" w:type="dxa"/>
          <w:bottom w:w="216" w:type="dxa"/>
          <w:right w:w="216" w:type="dxa"/>
        </w:tblCellMar>
        <w:tblLook w:val="04A0" w:firstRow="1" w:lastRow="0" w:firstColumn="1" w:lastColumn="0" w:noHBand="0" w:noVBand="1"/>
      </w:tblPr>
      <w:tblGrid>
        <w:gridCol w:w="3066"/>
        <w:gridCol w:w="7369"/>
      </w:tblGrid>
      <w:tr w:rsidR="007B7B78" w14:paraId="61B9D28B" w14:textId="77777777" w:rsidTr="00F67D89">
        <w:trPr>
          <w:tblHeader/>
          <w:tblCellSpacing w:w="7" w:type="dxa"/>
        </w:trPr>
        <w:tc>
          <w:tcPr>
            <w:tcW w:w="3055" w:type="dxa"/>
            <w:shd w:val="clear" w:color="auto" w:fill="142DFF"/>
          </w:tcPr>
          <w:p w14:paraId="4AB32D60" w14:textId="0B599DDC" w:rsidR="007B7B78" w:rsidRDefault="007B7B78" w:rsidP="00EC6F17">
            <w:pPr>
              <w:pStyle w:val="Heading4"/>
              <w:framePr w:wrap="around"/>
              <w:outlineLvl w:val="3"/>
            </w:pPr>
            <w:r>
              <w:t>Field Names</w:t>
            </w:r>
          </w:p>
        </w:tc>
        <w:tc>
          <w:tcPr>
            <w:tcW w:w="7380" w:type="dxa"/>
            <w:shd w:val="clear" w:color="auto" w:fill="142DFF"/>
          </w:tcPr>
          <w:p w14:paraId="248D7478" w14:textId="264B7ADF" w:rsidR="007B7B78" w:rsidRDefault="007B7B78" w:rsidP="00EC6F17">
            <w:pPr>
              <w:pStyle w:val="Heading4"/>
              <w:framePr w:wrap="around"/>
              <w:outlineLvl w:val="3"/>
            </w:pPr>
            <w:r>
              <w:t>Notes</w:t>
            </w:r>
          </w:p>
        </w:tc>
      </w:tr>
    </w:tbl>
    <w:tbl>
      <w:tblPr>
        <w:tblStyle w:val="TableGrid"/>
        <w:tblW w:w="10435" w:type="dxa"/>
        <w:tblCellSpacing w:w="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16" w:type="dxa"/>
          <w:left w:w="216" w:type="dxa"/>
          <w:bottom w:w="216" w:type="dxa"/>
          <w:right w:w="216" w:type="dxa"/>
        </w:tblCellMar>
        <w:tblLook w:val="04A0" w:firstRow="1" w:lastRow="0" w:firstColumn="1" w:lastColumn="0" w:noHBand="0" w:noVBand="1"/>
      </w:tblPr>
      <w:tblGrid>
        <w:gridCol w:w="3068"/>
        <w:gridCol w:w="7367"/>
      </w:tblGrid>
      <w:tr w:rsidR="007B7B78" w14:paraId="272088EB" w14:textId="77777777" w:rsidTr="00F67D89">
        <w:trPr>
          <w:tblCellSpacing w:w="7" w:type="dxa"/>
        </w:trPr>
        <w:tc>
          <w:tcPr>
            <w:tcW w:w="3055" w:type="dxa"/>
            <w:shd w:val="clear" w:color="auto" w:fill="DEEAF6" w:themeFill="accent5" w:themeFillTint="33"/>
          </w:tcPr>
          <w:p w14:paraId="43E24C0B" w14:textId="58CABFBC" w:rsidR="007B7B78" w:rsidRPr="0073776F" w:rsidRDefault="00F1420B" w:rsidP="0073776F">
            <w:pPr>
              <w:rPr>
                <w:b/>
                <w:bCs/>
              </w:rPr>
            </w:pPr>
            <w:r w:rsidRPr="0073776F">
              <w:rPr>
                <w:b/>
                <w:bCs/>
              </w:rPr>
              <w:t>Issuer or TPA Name/EIN</w:t>
            </w:r>
          </w:p>
        </w:tc>
        <w:tc>
          <w:tcPr>
            <w:tcW w:w="7380" w:type="dxa"/>
            <w:shd w:val="clear" w:color="auto" w:fill="DEEAF6" w:themeFill="accent5" w:themeFillTint="33"/>
          </w:tcPr>
          <w:p w14:paraId="5B8C0ECC" w14:textId="0154E227" w:rsidR="007B7B78" w:rsidRDefault="00E06E87" w:rsidP="0073776F">
            <w:r w:rsidRPr="00E06E87">
              <w:t xml:space="preserve">This should be the name and EIN of the insurance company who issues your fully insured policy or the TPA who administers your self-funded plan. Do not enter the employer’s name and number, unless the plan is both self-funded and self-administered. Do not enter more than one name or number – if there </w:t>
            </w:r>
            <w:r w:rsidRPr="00E06E87">
              <w:lastRenderedPageBreak/>
              <w:t>were multiple issuers/TPAs in the same year, they must be entered on separate lines.</w:t>
            </w:r>
          </w:p>
        </w:tc>
      </w:tr>
      <w:tr w:rsidR="00E06E87" w14:paraId="0794F9DC" w14:textId="77777777" w:rsidTr="00F67D89">
        <w:trPr>
          <w:tblCellSpacing w:w="7" w:type="dxa"/>
        </w:trPr>
        <w:tc>
          <w:tcPr>
            <w:tcW w:w="3055" w:type="dxa"/>
            <w:shd w:val="clear" w:color="auto" w:fill="DEEAF6" w:themeFill="accent5" w:themeFillTint="33"/>
          </w:tcPr>
          <w:p w14:paraId="262EDB4D" w14:textId="63F309AC" w:rsidR="00E06E87" w:rsidRPr="0073776F" w:rsidRDefault="0092226B" w:rsidP="0073776F">
            <w:pPr>
              <w:rPr>
                <w:b/>
                <w:bCs/>
              </w:rPr>
            </w:pPr>
            <w:r w:rsidRPr="0073776F">
              <w:rPr>
                <w:b/>
                <w:bCs/>
              </w:rPr>
              <w:lastRenderedPageBreak/>
              <w:t>State</w:t>
            </w:r>
          </w:p>
        </w:tc>
        <w:tc>
          <w:tcPr>
            <w:tcW w:w="7380" w:type="dxa"/>
            <w:shd w:val="clear" w:color="auto" w:fill="DEEAF6" w:themeFill="accent5" w:themeFillTint="33"/>
          </w:tcPr>
          <w:p w14:paraId="6E9FE805" w14:textId="17AE92FA" w:rsidR="00EE109D" w:rsidRPr="00E06E87" w:rsidRDefault="00AC5A5D" w:rsidP="0073776F">
            <w:r w:rsidRPr="00AC5A5D">
              <w:t>For a fully</w:t>
            </w:r>
            <w:r w:rsidR="00114BDA">
              <w:t xml:space="preserve"> </w:t>
            </w:r>
            <w:r w:rsidRPr="00AC5A5D">
              <w:t>insured plan</w:t>
            </w:r>
            <w:r w:rsidR="00114BDA">
              <w:t>,</w:t>
            </w:r>
            <w:r w:rsidRPr="00AC5A5D">
              <w:t xml:space="preserve"> enter the two</w:t>
            </w:r>
            <w:r w:rsidR="00114BDA">
              <w:t>-l</w:t>
            </w:r>
            <w:r w:rsidRPr="00AC5A5D">
              <w:t>etter postal code for the state where the policy was issued. For a self-funded plan</w:t>
            </w:r>
            <w:r w:rsidR="00114BDA">
              <w:t>,</w:t>
            </w:r>
            <w:r w:rsidRPr="00AC5A5D">
              <w:t xml:space="preserve"> enter the two</w:t>
            </w:r>
            <w:r w:rsidR="00114BDA">
              <w:t>-</w:t>
            </w:r>
            <w:r w:rsidRPr="00AC5A5D">
              <w:t>letter postal code for the state of the employer’s principal place of business.</w:t>
            </w:r>
          </w:p>
        </w:tc>
      </w:tr>
      <w:tr w:rsidR="00EE109D" w14:paraId="339FC9A1" w14:textId="77777777" w:rsidTr="00F67D89">
        <w:trPr>
          <w:tblCellSpacing w:w="7" w:type="dxa"/>
        </w:trPr>
        <w:tc>
          <w:tcPr>
            <w:tcW w:w="3055" w:type="dxa"/>
            <w:shd w:val="clear" w:color="auto" w:fill="DEEAF6" w:themeFill="accent5" w:themeFillTint="33"/>
          </w:tcPr>
          <w:p w14:paraId="6C90A66E" w14:textId="7DC6EDA3" w:rsidR="00EE109D" w:rsidRPr="0073776F" w:rsidRDefault="00EE109D" w:rsidP="0073776F">
            <w:pPr>
              <w:rPr>
                <w:b/>
                <w:bCs/>
              </w:rPr>
            </w:pPr>
            <w:r w:rsidRPr="0073776F">
              <w:rPr>
                <w:b/>
                <w:bCs/>
              </w:rPr>
              <w:t>Market Segment</w:t>
            </w:r>
          </w:p>
        </w:tc>
        <w:tc>
          <w:tcPr>
            <w:tcW w:w="7380" w:type="dxa"/>
            <w:shd w:val="clear" w:color="auto" w:fill="DEEAF6" w:themeFill="accent5" w:themeFillTint="33"/>
          </w:tcPr>
          <w:p w14:paraId="044DB184" w14:textId="51AF9378" w:rsidR="00EE109D" w:rsidRPr="00AC5A5D" w:rsidRDefault="00B21EF5" w:rsidP="0073776F">
            <w:r>
              <w:t>Th</w:t>
            </w:r>
            <w:r w:rsidRPr="00B21EF5">
              <w:t>e market segments for group plans are: small group market; large group market; SF small employer plans; and SF large employer plans. Use the same definition of “small” used in your state to identify the small group fully</w:t>
            </w:r>
            <w:r w:rsidR="006B5104">
              <w:t xml:space="preserve"> </w:t>
            </w:r>
            <w:r w:rsidRPr="00B21EF5">
              <w:t>insured market (typically less than 50 employees), even for a self-funded plan. Do not enter more than one market segment – if the employer offers multiple plans in different segments, e.g. both a self-funded and a fully</w:t>
            </w:r>
            <w:r w:rsidR="006B5104">
              <w:t xml:space="preserve"> </w:t>
            </w:r>
            <w:r w:rsidRPr="00B21EF5">
              <w:t>insured plan, they should be listed on different lines.</w:t>
            </w:r>
          </w:p>
        </w:tc>
      </w:tr>
      <w:tr w:rsidR="00B21EF5" w14:paraId="152A7EEA" w14:textId="77777777" w:rsidTr="00F67D89">
        <w:trPr>
          <w:tblCellSpacing w:w="7" w:type="dxa"/>
        </w:trPr>
        <w:tc>
          <w:tcPr>
            <w:tcW w:w="3055" w:type="dxa"/>
            <w:shd w:val="clear" w:color="auto" w:fill="DEEAF6" w:themeFill="accent5" w:themeFillTint="33"/>
          </w:tcPr>
          <w:p w14:paraId="30284790" w14:textId="72BED411" w:rsidR="00B21EF5" w:rsidRPr="0073776F" w:rsidRDefault="004E158A" w:rsidP="0073776F">
            <w:pPr>
              <w:rPr>
                <w:b/>
                <w:bCs/>
              </w:rPr>
            </w:pPr>
            <w:r w:rsidRPr="0073776F">
              <w:rPr>
                <w:b/>
                <w:bCs/>
              </w:rPr>
              <w:t>Life years</w:t>
            </w:r>
          </w:p>
        </w:tc>
        <w:tc>
          <w:tcPr>
            <w:tcW w:w="7380" w:type="dxa"/>
            <w:shd w:val="clear" w:color="auto" w:fill="DEEAF6" w:themeFill="accent5" w:themeFillTint="33"/>
          </w:tcPr>
          <w:p w14:paraId="144E2693" w14:textId="0424EAC9" w:rsidR="00B21EF5" w:rsidRDefault="00080945" w:rsidP="0073776F">
            <w:r w:rsidRPr="00080945">
              <w:t>Take the Total Member Months used to calculate Average Monthly Premiums, above, and divided by 12. Report the resulting number to the 8</w:t>
            </w:r>
            <w:r w:rsidRPr="00080945">
              <w:rPr>
                <w:vertAlign w:val="superscript"/>
              </w:rPr>
              <w:t>th</w:t>
            </w:r>
            <w:r w:rsidRPr="00080945">
              <w:t xml:space="preserve"> decimal place. </w:t>
            </w:r>
            <w:r>
              <w:t>I</w:t>
            </w:r>
            <w:r w:rsidRPr="00080945">
              <w:t>n the example above with 10,831 member months, the life years reported would be 902.58333333.</w:t>
            </w:r>
          </w:p>
        </w:tc>
      </w:tr>
      <w:tr w:rsidR="00080945" w14:paraId="6C904122" w14:textId="77777777" w:rsidTr="00F67D89">
        <w:trPr>
          <w:tblCellSpacing w:w="7" w:type="dxa"/>
        </w:trPr>
        <w:tc>
          <w:tcPr>
            <w:tcW w:w="3055" w:type="dxa"/>
            <w:shd w:val="clear" w:color="auto" w:fill="DEEAF6" w:themeFill="accent5" w:themeFillTint="33"/>
          </w:tcPr>
          <w:p w14:paraId="1F180DFF" w14:textId="2DABE2EC" w:rsidR="00080945" w:rsidRPr="0073776F" w:rsidRDefault="00FB24EF" w:rsidP="0073776F">
            <w:pPr>
              <w:rPr>
                <w:b/>
                <w:bCs/>
              </w:rPr>
            </w:pPr>
            <w:r w:rsidRPr="0073776F">
              <w:rPr>
                <w:b/>
                <w:bCs/>
              </w:rPr>
              <w:t>Earned Premium</w:t>
            </w:r>
          </w:p>
        </w:tc>
        <w:tc>
          <w:tcPr>
            <w:tcW w:w="7380" w:type="dxa"/>
            <w:shd w:val="clear" w:color="auto" w:fill="DEEAF6" w:themeFill="accent5" w:themeFillTint="33"/>
          </w:tcPr>
          <w:p w14:paraId="78DDB5B1" w14:textId="050A5903" w:rsidR="00080945" w:rsidRPr="00080945" w:rsidRDefault="009F4565" w:rsidP="0073776F">
            <w:r w:rsidRPr="009F4565">
              <w:t>This is the total amount of premiums paid to the insurance company for a fully-insured plan for the reference year; this field should be blank for a self-funded plan. This should be the same number used in the denominator when calculating Average Monthly Premiums. Do not reduce the premium to reflect MLR or other similar rebates.</w:t>
            </w:r>
          </w:p>
        </w:tc>
      </w:tr>
      <w:tr w:rsidR="009F4565" w14:paraId="6C6BC222" w14:textId="77777777" w:rsidTr="00F67D89">
        <w:trPr>
          <w:tblCellSpacing w:w="7" w:type="dxa"/>
        </w:trPr>
        <w:tc>
          <w:tcPr>
            <w:tcW w:w="3055" w:type="dxa"/>
            <w:shd w:val="clear" w:color="auto" w:fill="DEEAF6" w:themeFill="accent5" w:themeFillTint="33"/>
          </w:tcPr>
          <w:p w14:paraId="1C51CF5A" w14:textId="492A0ECE" w:rsidR="009F4565" w:rsidRPr="0073776F" w:rsidRDefault="009669F2" w:rsidP="0073776F">
            <w:pPr>
              <w:rPr>
                <w:b/>
                <w:bCs/>
              </w:rPr>
            </w:pPr>
            <w:r w:rsidRPr="0073776F">
              <w:rPr>
                <w:b/>
                <w:bCs/>
              </w:rPr>
              <w:t>Premium Equivalents</w:t>
            </w:r>
          </w:p>
        </w:tc>
        <w:tc>
          <w:tcPr>
            <w:tcW w:w="7380" w:type="dxa"/>
            <w:shd w:val="clear" w:color="auto" w:fill="DEEAF6" w:themeFill="accent5" w:themeFillTint="33"/>
          </w:tcPr>
          <w:p w14:paraId="098C74DC" w14:textId="2FD2821A" w:rsidR="009F4565" w:rsidRPr="009F4565" w:rsidRDefault="00D50311" w:rsidP="0073776F">
            <w:r w:rsidRPr="00D50311">
              <w:t xml:space="preserve">This is total cost of providing self-funded coverage for the year including claims costs, administrative costs, Administrative Services Only (ASO) and other TPA fees, and stop-loss premiums. Use the same costs </w:t>
            </w:r>
            <w:r w:rsidR="007B6DBA">
              <w:t>that</w:t>
            </w:r>
            <w:r w:rsidRPr="00D50311">
              <w:t xml:space="preserve"> are used to calculate the COBRA premium except CMS expects the employer to use actual costs for the year, not expected costs, and don’t include the 2% admin fee. This should be the same number used in the denominator when calculating Average Monthly Premiums; this field should be left blank for a fully</w:t>
            </w:r>
            <w:r w:rsidR="0049137B">
              <w:t xml:space="preserve"> </w:t>
            </w:r>
            <w:r w:rsidRPr="00D50311">
              <w:t>insured plan.</w:t>
            </w:r>
          </w:p>
        </w:tc>
      </w:tr>
      <w:tr w:rsidR="00D50311" w14:paraId="00A91FBF" w14:textId="77777777" w:rsidTr="00F67D89">
        <w:trPr>
          <w:tblCellSpacing w:w="7" w:type="dxa"/>
        </w:trPr>
        <w:tc>
          <w:tcPr>
            <w:tcW w:w="3055" w:type="dxa"/>
            <w:shd w:val="clear" w:color="auto" w:fill="DEEAF6" w:themeFill="accent5" w:themeFillTint="33"/>
          </w:tcPr>
          <w:p w14:paraId="4D22162D" w14:textId="0B60465E" w:rsidR="00D50311" w:rsidRPr="0073776F" w:rsidRDefault="00523F33" w:rsidP="0073776F">
            <w:pPr>
              <w:rPr>
                <w:b/>
                <w:bCs/>
              </w:rPr>
            </w:pPr>
            <w:r w:rsidRPr="0073776F">
              <w:rPr>
                <w:b/>
                <w:bCs/>
              </w:rPr>
              <w:lastRenderedPageBreak/>
              <w:t>ASO/TPA Fees Paid</w:t>
            </w:r>
          </w:p>
        </w:tc>
        <w:tc>
          <w:tcPr>
            <w:tcW w:w="7380" w:type="dxa"/>
            <w:shd w:val="clear" w:color="auto" w:fill="DEEAF6" w:themeFill="accent5" w:themeFillTint="33"/>
          </w:tcPr>
          <w:p w14:paraId="2FB9A985" w14:textId="15B0432D" w:rsidR="00D50311" w:rsidRPr="00D50311" w:rsidRDefault="00BA46BA" w:rsidP="0073776F">
            <w:r w:rsidRPr="00BA46BA">
              <w:t>Report total ASO/TPA fees paid for a self-funded plan for the reference year – this amount should also be included in the premium equivalents amount. This field should be left blank for a fully-insured plan.</w:t>
            </w:r>
          </w:p>
        </w:tc>
      </w:tr>
    </w:tbl>
    <w:tbl>
      <w:tblPr>
        <w:tblStyle w:val="TableGrid"/>
        <w:tblW w:w="10435" w:type="dxa"/>
        <w:tblCellSpacing w:w="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16" w:type="dxa"/>
          <w:left w:w="216" w:type="dxa"/>
          <w:bottom w:w="216" w:type="dxa"/>
          <w:right w:w="216" w:type="dxa"/>
        </w:tblCellMar>
        <w:tblLook w:val="04A0" w:firstRow="1" w:lastRow="0" w:firstColumn="1" w:lastColumn="0" w:noHBand="0" w:noVBand="1"/>
      </w:tblPr>
      <w:tblGrid>
        <w:gridCol w:w="3067"/>
        <w:gridCol w:w="7368"/>
      </w:tblGrid>
      <w:tr w:rsidR="00BA46BA" w14:paraId="709DF802" w14:textId="77777777" w:rsidTr="00F67D89">
        <w:trPr>
          <w:tblCellSpacing w:w="7" w:type="dxa"/>
        </w:trPr>
        <w:tc>
          <w:tcPr>
            <w:tcW w:w="3055" w:type="dxa"/>
            <w:shd w:val="clear" w:color="auto" w:fill="DEEAF6" w:themeFill="accent5" w:themeFillTint="33"/>
          </w:tcPr>
          <w:p w14:paraId="2A69DBA8" w14:textId="6A2B24B3" w:rsidR="00BA46BA" w:rsidRPr="007767C9" w:rsidRDefault="007767C9" w:rsidP="00E06E87">
            <w:pPr>
              <w:pStyle w:val="Heading2"/>
              <w:framePr w:wrap="around"/>
              <w:outlineLvl w:val="1"/>
            </w:pPr>
            <w:r w:rsidRPr="007767C9">
              <w:t>Stop Loss Premiums Paid</w:t>
            </w:r>
          </w:p>
        </w:tc>
        <w:tc>
          <w:tcPr>
            <w:tcW w:w="7380" w:type="dxa"/>
            <w:shd w:val="clear" w:color="auto" w:fill="DEEAF6" w:themeFill="accent5" w:themeFillTint="33"/>
          </w:tcPr>
          <w:p w14:paraId="3A1C7414" w14:textId="3E9BF62C" w:rsidR="00BA46BA" w:rsidRPr="00BA46BA" w:rsidRDefault="006D3E46" w:rsidP="007B7B78">
            <w:pPr>
              <w:framePr w:hSpace="180" w:wrap="around" w:vAnchor="text" w:hAnchor="margin" w:y="7"/>
            </w:pPr>
            <w:r w:rsidRPr="006D3E46">
              <w:t>Report total stop loss premiums paid for a self-funded plan for the reference year – this amount should also be included in the premium equivalents amount. This field should be left blank for a fully-insured plan.</w:t>
            </w:r>
          </w:p>
        </w:tc>
      </w:tr>
    </w:tbl>
    <w:p w14:paraId="044130C0" w14:textId="77777777" w:rsidR="006D3E46" w:rsidRDefault="006D3E46" w:rsidP="00933D49">
      <w:pPr>
        <w:pStyle w:val="MediumGrid2-Accent11"/>
        <w:rPr>
          <w:rFonts w:cstheme="minorHAnsi"/>
          <w:i/>
        </w:rPr>
      </w:pPr>
    </w:p>
    <w:p w14:paraId="007D5871" w14:textId="76646344" w:rsidR="00933D49" w:rsidRPr="00933D49" w:rsidRDefault="00933D49" w:rsidP="00933D49">
      <w:pPr>
        <w:pStyle w:val="MediumGrid2-Accent11"/>
        <w:rPr>
          <w:rFonts w:cstheme="minorHAnsi"/>
          <w:i/>
        </w:rPr>
      </w:pPr>
      <w:r w:rsidRPr="00933D49">
        <w:rPr>
          <w:rFonts w:cstheme="minorHAnsi"/>
          <w:i/>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388FD223" w14:textId="77777777" w:rsidR="00933D49" w:rsidRPr="001F2728" w:rsidRDefault="00933D49" w:rsidP="00A75476"/>
    <w:sectPr w:rsidR="00933D49" w:rsidRPr="001F2728" w:rsidSect="00A75476">
      <w:footerReference w:type="default" r:id="rId11"/>
      <w:footerReference w:type="first" r:id="rId12"/>
      <w:pgSz w:w="12240" w:h="15840" w:code="1"/>
      <w:pgMar w:top="549"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A947" w14:textId="77777777" w:rsidR="00890C4B" w:rsidRDefault="00890C4B" w:rsidP="00A75476">
      <w:r>
        <w:separator/>
      </w:r>
    </w:p>
  </w:endnote>
  <w:endnote w:type="continuationSeparator" w:id="0">
    <w:p w14:paraId="526EFA6E" w14:textId="77777777" w:rsidR="00890C4B" w:rsidRDefault="00890C4B" w:rsidP="00A7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B343CE">
    <w:pPr>
      <w:pStyle w:val="Footer"/>
      <w:spacing w:line="240" w:lineRule="auto"/>
      <w:jc w:val="center"/>
    </w:pPr>
  </w:p>
  <w:p w14:paraId="542819BC" w14:textId="676F56FC" w:rsidR="008D174F" w:rsidRPr="00EC6F17" w:rsidRDefault="00D96EA7" w:rsidP="00EC6F17">
    <w:pPr>
      <w:pStyle w:val="Footer"/>
      <w:spacing w:line="240" w:lineRule="auto"/>
      <w:jc w:val="center"/>
      <w:rPr>
        <w:lang w:val="en-US"/>
      </w:rPr>
    </w:pPr>
    <w:r w:rsidRPr="006C7EC1">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DB9" w14:textId="729EB2F0" w:rsidR="008D174F" w:rsidRPr="00EC6F17" w:rsidRDefault="00D96EA7" w:rsidP="00EC6F17">
    <w:pPr>
      <w:pStyle w:val="Footer"/>
      <w:jc w:val="center"/>
      <w:rPr>
        <w:lang w:val="en-US"/>
      </w:rPr>
    </w:pPr>
    <w:r>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42FF" w14:textId="77777777" w:rsidR="00890C4B" w:rsidRDefault="00890C4B" w:rsidP="00A75476">
      <w:r>
        <w:separator/>
      </w:r>
    </w:p>
  </w:footnote>
  <w:footnote w:type="continuationSeparator" w:id="0">
    <w:p w14:paraId="4D35CA7A" w14:textId="77777777" w:rsidR="00890C4B" w:rsidRDefault="00890C4B" w:rsidP="00A75476">
      <w:r>
        <w:continuationSeparator/>
      </w:r>
    </w:p>
  </w:footnote>
  <w:footnote w:id="1">
    <w:p w14:paraId="03BD95C9" w14:textId="4D193FE2" w:rsidR="00E0595B" w:rsidRDefault="00E0595B" w:rsidP="00E0595B">
      <w:pPr>
        <w:pStyle w:val="FootnoteText"/>
      </w:pPr>
      <w:r>
        <w:rPr>
          <w:rStyle w:val="FootnoteReference"/>
        </w:rPr>
        <w:footnoteRef/>
      </w:r>
      <w:r>
        <w:t xml:space="preserve"> But just because they can doesn’t always mean they will. In some cases, the carrier, TPA or PBM have indicated they will supply the necessary data but the employer </w:t>
      </w:r>
      <w:r w:rsidR="00963074">
        <w:t>must</w:t>
      </w:r>
      <w:r>
        <w:t xml:space="preserve"> actually file the data with CMS themselves. Brokers and employers must check with each carrier, TPA or PBM how much they will file on the employer’s behalf and what portion of the filing remains the responsibility of the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A55B2"/>
    <w:multiLevelType w:val="hybridMultilevel"/>
    <w:tmpl w:val="A92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15"/>
  </w:num>
  <w:num w:numId="3" w16cid:durableId="1824545861">
    <w:abstractNumId w:val="4"/>
  </w:num>
  <w:num w:numId="4" w16cid:durableId="941425011">
    <w:abstractNumId w:val="0"/>
  </w:num>
  <w:num w:numId="5" w16cid:durableId="944268387">
    <w:abstractNumId w:val="19"/>
  </w:num>
  <w:num w:numId="6" w16cid:durableId="1909537257">
    <w:abstractNumId w:val="16"/>
  </w:num>
  <w:num w:numId="7" w16cid:durableId="206912597">
    <w:abstractNumId w:val="17"/>
  </w:num>
  <w:num w:numId="8" w16cid:durableId="3751631">
    <w:abstractNumId w:val="14"/>
  </w:num>
  <w:num w:numId="9" w16cid:durableId="1625840865">
    <w:abstractNumId w:val="1"/>
  </w:num>
  <w:num w:numId="10" w16cid:durableId="286281121">
    <w:abstractNumId w:val="2"/>
  </w:num>
  <w:num w:numId="11" w16cid:durableId="783694730">
    <w:abstractNumId w:val="18"/>
  </w:num>
  <w:num w:numId="12" w16cid:durableId="1661275024">
    <w:abstractNumId w:val="9"/>
  </w:num>
  <w:num w:numId="13" w16cid:durableId="1847478714">
    <w:abstractNumId w:val="10"/>
  </w:num>
  <w:num w:numId="14" w16cid:durableId="796682776">
    <w:abstractNumId w:val="3"/>
  </w:num>
  <w:num w:numId="15" w16cid:durableId="1915820285">
    <w:abstractNumId w:val="12"/>
  </w:num>
  <w:num w:numId="16" w16cid:durableId="1031103399">
    <w:abstractNumId w:val="13"/>
  </w:num>
  <w:num w:numId="17" w16cid:durableId="1100686766">
    <w:abstractNumId w:val="6"/>
  </w:num>
  <w:num w:numId="18" w16cid:durableId="967705383">
    <w:abstractNumId w:val="5"/>
  </w:num>
  <w:num w:numId="19" w16cid:durableId="1007170645">
    <w:abstractNumId w:val="7"/>
  </w:num>
  <w:num w:numId="20" w16cid:durableId="151416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56D1"/>
    <w:rsid w:val="000118B9"/>
    <w:rsid w:val="0002716A"/>
    <w:rsid w:val="00035DDE"/>
    <w:rsid w:val="0003666E"/>
    <w:rsid w:val="00064BE0"/>
    <w:rsid w:val="00072C7E"/>
    <w:rsid w:val="00080945"/>
    <w:rsid w:val="00081B9E"/>
    <w:rsid w:val="00084092"/>
    <w:rsid w:val="000B02E3"/>
    <w:rsid w:val="000B7D90"/>
    <w:rsid w:val="000C0275"/>
    <w:rsid w:val="000D3408"/>
    <w:rsid w:val="0010232C"/>
    <w:rsid w:val="00113158"/>
    <w:rsid w:val="00114BDA"/>
    <w:rsid w:val="001218E1"/>
    <w:rsid w:val="001473AE"/>
    <w:rsid w:val="00152063"/>
    <w:rsid w:val="0016433D"/>
    <w:rsid w:val="00184A31"/>
    <w:rsid w:val="001A4A16"/>
    <w:rsid w:val="001A7CD3"/>
    <w:rsid w:val="001B1C54"/>
    <w:rsid w:val="001B298A"/>
    <w:rsid w:val="001B4B1E"/>
    <w:rsid w:val="001C3860"/>
    <w:rsid w:val="001F2728"/>
    <w:rsid w:val="00205E6D"/>
    <w:rsid w:val="00213249"/>
    <w:rsid w:val="0021397F"/>
    <w:rsid w:val="0022013D"/>
    <w:rsid w:val="00236665"/>
    <w:rsid w:val="00240430"/>
    <w:rsid w:val="00244837"/>
    <w:rsid w:val="0026369D"/>
    <w:rsid w:val="0027646A"/>
    <w:rsid w:val="00284520"/>
    <w:rsid w:val="002E1EF1"/>
    <w:rsid w:val="00321324"/>
    <w:rsid w:val="00325916"/>
    <w:rsid w:val="0033116E"/>
    <w:rsid w:val="00351B6F"/>
    <w:rsid w:val="00360522"/>
    <w:rsid w:val="003648CE"/>
    <w:rsid w:val="00375071"/>
    <w:rsid w:val="00381B1C"/>
    <w:rsid w:val="003A5E44"/>
    <w:rsid w:val="003B5648"/>
    <w:rsid w:val="003C0886"/>
    <w:rsid w:val="003C2772"/>
    <w:rsid w:val="003D132A"/>
    <w:rsid w:val="00400411"/>
    <w:rsid w:val="004072DF"/>
    <w:rsid w:val="00420AF7"/>
    <w:rsid w:val="00423B0D"/>
    <w:rsid w:val="004429E9"/>
    <w:rsid w:val="0045052A"/>
    <w:rsid w:val="004857AF"/>
    <w:rsid w:val="0049137B"/>
    <w:rsid w:val="004B053B"/>
    <w:rsid w:val="004C0F12"/>
    <w:rsid w:val="004D196A"/>
    <w:rsid w:val="004E158A"/>
    <w:rsid w:val="004E4036"/>
    <w:rsid w:val="004F6DBA"/>
    <w:rsid w:val="00511CF4"/>
    <w:rsid w:val="0051387E"/>
    <w:rsid w:val="00517DE5"/>
    <w:rsid w:val="00523F33"/>
    <w:rsid w:val="00524D5A"/>
    <w:rsid w:val="005302DE"/>
    <w:rsid w:val="00541044"/>
    <w:rsid w:val="00581053"/>
    <w:rsid w:val="005825B0"/>
    <w:rsid w:val="005B6928"/>
    <w:rsid w:val="005C1B54"/>
    <w:rsid w:val="005C7032"/>
    <w:rsid w:val="005D2235"/>
    <w:rsid w:val="005D7415"/>
    <w:rsid w:val="0062726A"/>
    <w:rsid w:val="006333EF"/>
    <w:rsid w:val="00635AF0"/>
    <w:rsid w:val="006439AF"/>
    <w:rsid w:val="00665BF1"/>
    <w:rsid w:val="006851B1"/>
    <w:rsid w:val="00686CC8"/>
    <w:rsid w:val="006B485B"/>
    <w:rsid w:val="006B5104"/>
    <w:rsid w:val="006B5F3D"/>
    <w:rsid w:val="006C5714"/>
    <w:rsid w:val="006D3E46"/>
    <w:rsid w:val="006E4607"/>
    <w:rsid w:val="006F5072"/>
    <w:rsid w:val="006F6993"/>
    <w:rsid w:val="007071C6"/>
    <w:rsid w:val="0071021F"/>
    <w:rsid w:val="007207D6"/>
    <w:rsid w:val="007248B2"/>
    <w:rsid w:val="007375F3"/>
    <w:rsid w:val="0073776F"/>
    <w:rsid w:val="00742175"/>
    <w:rsid w:val="0075712A"/>
    <w:rsid w:val="00764C62"/>
    <w:rsid w:val="007730AF"/>
    <w:rsid w:val="007767C9"/>
    <w:rsid w:val="007B6AF9"/>
    <w:rsid w:val="007B6DBA"/>
    <w:rsid w:val="007B7B78"/>
    <w:rsid w:val="007C72E4"/>
    <w:rsid w:val="007F3213"/>
    <w:rsid w:val="00800AB8"/>
    <w:rsid w:val="00802019"/>
    <w:rsid w:val="00812EEA"/>
    <w:rsid w:val="00833BC7"/>
    <w:rsid w:val="00835711"/>
    <w:rsid w:val="00886916"/>
    <w:rsid w:val="00890C4B"/>
    <w:rsid w:val="008B0ADE"/>
    <w:rsid w:val="008B3086"/>
    <w:rsid w:val="008B5C1A"/>
    <w:rsid w:val="008D1447"/>
    <w:rsid w:val="008D174F"/>
    <w:rsid w:val="008D6E0F"/>
    <w:rsid w:val="008E6758"/>
    <w:rsid w:val="008F357F"/>
    <w:rsid w:val="00911C36"/>
    <w:rsid w:val="009137A4"/>
    <w:rsid w:val="0092226B"/>
    <w:rsid w:val="00923792"/>
    <w:rsid w:val="0093001C"/>
    <w:rsid w:val="00933D49"/>
    <w:rsid w:val="009519C5"/>
    <w:rsid w:val="0096028A"/>
    <w:rsid w:val="00963074"/>
    <w:rsid w:val="009669F2"/>
    <w:rsid w:val="0099394D"/>
    <w:rsid w:val="009959E0"/>
    <w:rsid w:val="00997EE5"/>
    <w:rsid w:val="009A58AE"/>
    <w:rsid w:val="009A7D76"/>
    <w:rsid w:val="009C1778"/>
    <w:rsid w:val="009D47A6"/>
    <w:rsid w:val="009F0C34"/>
    <w:rsid w:val="009F4565"/>
    <w:rsid w:val="009F60CD"/>
    <w:rsid w:val="00A07A7C"/>
    <w:rsid w:val="00A07C69"/>
    <w:rsid w:val="00A149E5"/>
    <w:rsid w:val="00A230B5"/>
    <w:rsid w:val="00A52269"/>
    <w:rsid w:val="00A75476"/>
    <w:rsid w:val="00A82476"/>
    <w:rsid w:val="00A8458B"/>
    <w:rsid w:val="00A90F69"/>
    <w:rsid w:val="00A92234"/>
    <w:rsid w:val="00A934CB"/>
    <w:rsid w:val="00A93FB0"/>
    <w:rsid w:val="00AC2BFA"/>
    <w:rsid w:val="00AC5A5D"/>
    <w:rsid w:val="00AC70EC"/>
    <w:rsid w:val="00AD368E"/>
    <w:rsid w:val="00AD6E8D"/>
    <w:rsid w:val="00AF18A8"/>
    <w:rsid w:val="00AF4C61"/>
    <w:rsid w:val="00B21EF5"/>
    <w:rsid w:val="00B343CE"/>
    <w:rsid w:val="00B4157B"/>
    <w:rsid w:val="00B64A20"/>
    <w:rsid w:val="00B72467"/>
    <w:rsid w:val="00B841AB"/>
    <w:rsid w:val="00B87DD9"/>
    <w:rsid w:val="00B90582"/>
    <w:rsid w:val="00B91A11"/>
    <w:rsid w:val="00BA46BA"/>
    <w:rsid w:val="00BB0291"/>
    <w:rsid w:val="00BB068C"/>
    <w:rsid w:val="00BB1D5F"/>
    <w:rsid w:val="00BC0F74"/>
    <w:rsid w:val="00BC291A"/>
    <w:rsid w:val="00BD2B97"/>
    <w:rsid w:val="00BF39A0"/>
    <w:rsid w:val="00BF7E70"/>
    <w:rsid w:val="00C02794"/>
    <w:rsid w:val="00C41D90"/>
    <w:rsid w:val="00C43FAE"/>
    <w:rsid w:val="00C52732"/>
    <w:rsid w:val="00C6431D"/>
    <w:rsid w:val="00C6621F"/>
    <w:rsid w:val="00C66C3B"/>
    <w:rsid w:val="00C7463B"/>
    <w:rsid w:val="00C81009"/>
    <w:rsid w:val="00C90091"/>
    <w:rsid w:val="00C968B1"/>
    <w:rsid w:val="00CB16AF"/>
    <w:rsid w:val="00CB7CB3"/>
    <w:rsid w:val="00CD72C4"/>
    <w:rsid w:val="00CF13A4"/>
    <w:rsid w:val="00CF61E7"/>
    <w:rsid w:val="00D40E48"/>
    <w:rsid w:val="00D45797"/>
    <w:rsid w:val="00D50311"/>
    <w:rsid w:val="00D602B9"/>
    <w:rsid w:val="00D763DE"/>
    <w:rsid w:val="00D77E0E"/>
    <w:rsid w:val="00D96EA7"/>
    <w:rsid w:val="00DC0A86"/>
    <w:rsid w:val="00DE6657"/>
    <w:rsid w:val="00E03D92"/>
    <w:rsid w:val="00E0595B"/>
    <w:rsid w:val="00E06E87"/>
    <w:rsid w:val="00E13A4D"/>
    <w:rsid w:val="00E14ECC"/>
    <w:rsid w:val="00E2182D"/>
    <w:rsid w:val="00E26044"/>
    <w:rsid w:val="00E3231D"/>
    <w:rsid w:val="00E37D48"/>
    <w:rsid w:val="00E37ED2"/>
    <w:rsid w:val="00E419BE"/>
    <w:rsid w:val="00E735B1"/>
    <w:rsid w:val="00E84572"/>
    <w:rsid w:val="00EB499B"/>
    <w:rsid w:val="00EC00D3"/>
    <w:rsid w:val="00EC6F17"/>
    <w:rsid w:val="00ED086D"/>
    <w:rsid w:val="00ED6284"/>
    <w:rsid w:val="00EE109D"/>
    <w:rsid w:val="00EF2F47"/>
    <w:rsid w:val="00F10594"/>
    <w:rsid w:val="00F13651"/>
    <w:rsid w:val="00F1420B"/>
    <w:rsid w:val="00F1520C"/>
    <w:rsid w:val="00F21B8E"/>
    <w:rsid w:val="00F347A6"/>
    <w:rsid w:val="00F37A37"/>
    <w:rsid w:val="00F37E23"/>
    <w:rsid w:val="00F45586"/>
    <w:rsid w:val="00F67D89"/>
    <w:rsid w:val="00FA3DD7"/>
    <w:rsid w:val="00FA40A0"/>
    <w:rsid w:val="00FB24EF"/>
    <w:rsid w:val="00FC0F95"/>
    <w:rsid w:val="00FD2FDA"/>
    <w:rsid w:val="18D0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AB408409-FC6D-A84E-80A0-DC945197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CE"/>
    <w:pPr>
      <w:spacing w:after="100" w:afterAutospacing="1" w:line="360" w:lineRule="auto"/>
    </w:pPr>
    <w:rPr>
      <w:rFonts w:ascii="Georgia" w:eastAsia="Times New Roman" w:hAnsi="Georgia" w:cs="Times New Roman"/>
      <w:color w:val="000000" w:themeColor="text1"/>
      <w:sz w:val="20"/>
      <w:szCs w:val="20"/>
      <w:lang w:bidi="en-US"/>
    </w:rPr>
  </w:style>
  <w:style w:type="paragraph" w:styleId="Heading1">
    <w:name w:val="heading 1"/>
    <w:basedOn w:val="Normal"/>
    <w:next w:val="Normal"/>
    <w:link w:val="Heading1Char"/>
    <w:uiPriority w:val="9"/>
    <w:qFormat/>
    <w:rsid w:val="00EC6F17"/>
    <w:pPr>
      <w:keepNext/>
      <w:keepLines/>
      <w:spacing w:before="240"/>
      <w:outlineLvl w:val="0"/>
    </w:pPr>
    <w:rPr>
      <w:rFonts w:ascii="Arial" w:eastAsiaTheme="majorEastAsia" w:hAnsi="Arial" w:cs="Arial"/>
      <w:color w:val="142DFF"/>
      <w:sz w:val="32"/>
      <w:szCs w:val="32"/>
      <w:lang w:bidi="ar-SA"/>
    </w:rPr>
  </w:style>
  <w:style w:type="paragraph" w:styleId="Heading2">
    <w:name w:val="heading 2"/>
    <w:basedOn w:val="Normal"/>
    <w:next w:val="Normal"/>
    <w:link w:val="Heading2Char"/>
    <w:uiPriority w:val="9"/>
    <w:unhideWhenUsed/>
    <w:qFormat/>
    <w:rsid w:val="00EC6F17"/>
    <w:pPr>
      <w:framePr w:hSpace="180" w:wrap="around" w:vAnchor="text" w:hAnchor="margin" w:y="7"/>
      <w:spacing w:after="0" w:afterAutospacing="0"/>
      <w:outlineLvl w:val="1"/>
    </w:pPr>
    <w:rPr>
      <w:rFonts w:ascii="Arial" w:hAnsi="Arial" w:cs="Arial"/>
      <w:b/>
      <w:bCs/>
      <w:color w:val="auto"/>
    </w:rPr>
  </w:style>
  <w:style w:type="paragraph" w:styleId="Heading3">
    <w:name w:val="heading 3"/>
    <w:basedOn w:val="Normal"/>
    <w:next w:val="Normal"/>
    <w:link w:val="Heading3Char"/>
    <w:uiPriority w:val="9"/>
    <w:unhideWhenUsed/>
    <w:qFormat/>
    <w:rsid w:val="00B343CE"/>
    <w:pPr>
      <w:framePr w:hSpace="180" w:wrap="around" w:vAnchor="text" w:hAnchor="margin" w:x="210" w:y="7"/>
      <w:outlineLvl w:val="2"/>
    </w:pPr>
    <w:rPr>
      <w:rFonts w:ascii="Arial" w:hAnsi="Arial" w:cs="Arial"/>
      <w:b/>
      <w:bCs/>
      <w:color w:val="142DFF"/>
    </w:rPr>
  </w:style>
  <w:style w:type="paragraph" w:styleId="Heading4">
    <w:name w:val="heading 4"/>
    <w:basedOn w:val="Heading2"/>
    <w:next w:val="Normal"/>
    <w:link w:val="Heading4Char"/>
    <w:uiPriority w:val="9"/>
    <w:unhideWhenUsed/>
    <w:qFormat/>
    <w:rsid w:val="00EC6F17"/>
    <w:pPr>
      <w:framePr w:wrap="around"/>
      <w:outlineLvl w:val="3"/>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17"/>
    <w:rPr>
      <w:rFonts w:ascii="Arial" w:eastAsiaTheme="majorEastAsia" w:hAnsi="Arial" w:cs="Arial"/>
      <w:color w:val="142DFF"/>
      <w:sz w:val="32"/>
      <w:szCs w:val="32"/>
    </w:rPr>
  </w:style>
  <w:style w:type="paragraph" w:customStyle="1" w:styleId="MediumGrid2-Accent11">
    <w:name w:val="Medium Grid 2 - Accent 11"/>
    <w:aliases w:val="Bob Comments"/>
    <w:basedOn w:val="Normal"/>
    <w:link w:val="MediumGrid2-Accent1Char"/>
    <w:uiPriority w:val="1"/>
    <w:qFormat/>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style>
  <w:style w:type="paragraph" w:customStyle="1" w:styleId="xmsonormal">
    <w:name w:val="x_msonormal"/>
    <w:basedOn w:val="Normal"/>
    <w:uiPriority w:val="99"/>
    <w:rsid w:val="00321324"/>
    <w:rPr>
      <w:rFonts w:ascii="Times New Roman" w:hAnsi="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rsid w:val="00EC6F17"/>
    <w:rPr>
      <w:rFonts w:ascii="Arial" w:eastAsia="Times New Roman" w:hAnsi="Arial" w:cs="Arial"/>
      <w:b/>
      <w:bCs/>
      <w:sz w:val="20"/>
      <w:szCs w:val="20"/>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uiPriority w:val="39"/>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 w:type="paragraph" w:styleId="Title">
    <w:name w:val="Title"/>
    <w:basedOn w:val="Normal"/>
    <w:next w:val="Normal"/>
    <w:link w:val="TitleChar"/>
    <w:uiPriority w:val="10"/>
    <w:qFormat/>
    <w:rsid w:val="00A7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76"/>
    <w:rPr>
      <w:rFonts w:asciiTheme="majorHAnsi" w:eastAsiaTheme="majorEastAsia" w:hAnsiTheme="majorHAnsi" w:cstheme="majorBidi"/>
      <w:spacing w:val="-10"/>
      <w:kern w:val="28"/>
      <w:sz w:val="56"/>
      <w:szCs w:val="56"/>
      <w:lang w:bidi="en-US"/>
    </w:rPr>
  </w:style>
  <w:style w:type="table" w:customStyle="1" w:styleId="TableGrid1">
    <w:name w:val="Table Grid1"/>
    <w:basedOn w:val="TableNormal"/>
    <w:next w:val="TableGrid"/>
    <w:rsid w:val="00A75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43CE"/>
    <w:rPr>
      <w:rFonts w:ascii="Arial" w:eastAsia="Times New Roman" w:hAnsi="Arial" w:cs="Arial"/>
      <w:b/>
      <w:bCs/>
      <w:color w:val="142DFF"/>
      <w:sz w:val="20"/>
      <w:szCs w:val="20"/>
      <w:lang w:bidi="en-US"/>
    </w:rPr>
  </w:style>
  <w:style w:type="character" w:customStyle="1" w:styleId="Heading4Char">
    <w:name w:val="Heading 4 Char"/>
    <w:basedOn w:val="DefaultParagraphFont"/>
    <w:link w:val="Heading4"/>
    <w:uiPriority w:val="9"/>
    <w:rsid w:val="00EC6F17"/>
    <w:rPr>
      <w:rFonts w:ascii="Arial" w:eastAsia="Times New Roman" w:hAnsi="Arial" w:cs="Arial"/>
      <w:b/>
      <w:bCs/>
      <w:color w:val="FFFFFF" w:themeColor="background1"/>
      <w:sz w:val="20"/>
      <w:szCs w:val="20"/>
      <w:lang w:bidi="en-US"/>
    </w:rPr>
  </w:style>
  <w:style w:type="paragraph" w:styleId="FootnoteText">
    <w:name w:val="footnote text"/>
    <w:basedOn w:val="Normal"/>
    <w:link w:val="FootnoteTextChar"/>
    <w:uiPriority w:val="99"/>
    <w:semiHidden/>
    <w:unhideWhenUsed/>
    <w:rsid w:val="00E0595B"/>
    <w:pPr>
      <w:spacing w:after="0" w:afterAutospacing="0" w:line="240" w:lineRule="auto"/>
    </w:pPr>
    <w:rPr>
      <w:rFonts w:asciiTheme="minorHAnsi" w:eastAsiaTheme="minorHAnsi" w:hAnsiTheme="minorHAnsi" w:cstheme="minorBidi"/>
      <w:color w:val="auto"/>
      <w:lang w:bidi="ar-SA"/>
    </w:rPr>
  </w:style>
  <w:style w:type="character" w:customStyle="1" w:styleId="FootnoteTextChar">
    <w:name w:val="Footnote Text Char"/>
    <w:basedOn w:val="DefaultParagraphFont"/>
    <w:link w:val="FootnoteText"/>
    <w:uiPriority w:val="99"/>
    <w:semiHidden/>
    <w:rsid w:val="00E0595B"/>
    <w:rPr>
      <w:sz w:val="20"/>
      <w:szCs w:val="20"/>
    </w:rPr>
  </w:style>
  <w:style w:type="character" w:styleId="FootnoteReference">
    <w:name w:val="footnote reference"/>
    <w:basedOn w:val="DefaultParagraphFont"/>
    <w:uiPriority w:val="99"/>
    <w:semiHidden/>
    <w:unhideWhenUsed/>
    <w:rsid w:val="00E05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DDA72-0411-4354-8835-A0CF929A5E6A}">
  <ds:schemaRefs>
    <ds:schemaRef ds:uri="http://schemas.microsoft.com/sharepoint/v3/contenttype/forms"/>
  </ds:schemaRefs>
</ds:datastoreItem>
</file>

<file path=customXml/itemProps2.xml><?xml version="1.0" encoding="utf-8"?>
<ds:datastoreItem xmlns:ds="http://schemas.openxmlformats.org/officeDocument/2006/customXml" ds:itemID="{05D1C58C-926F-4A07-B7CA-179FCB86F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01292-8960-4B20-A637-D035B02EC198}">
  <ds:schemaRefs>
    <ds:schemaRef ds:uri="http://purl.org/dc/dcmitype/"/>
    <ds:schemaRef ds:uri="cacb081c-b966-43bd-b7c8-da36ad9181ac"/>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6f4dd139-d5da-4f3b-8198-29478e422370"/>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Ben James</cp:lastModifiedBy>
  <cp:revision>2</cp:revision>
  <dcterms:created xsi:type="dcterms:W3CDTF">2023-02-15T17:24:00Z</dcterms:created>
  <dcterms:modified xsi:type="dcterms:W3CDTF">2023-02-15T17:24:00Z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