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3E783" w14:textId="7B1F896D" w:rsidR="006C7EC1" w:rsidRPr="007A388B" w:rsidRDefault="00C610E5" w:rsidP="006C7EC1">
      <w:pPr>
        <w:jc w:val="center"/>
        <w:rPr>
          <w:rFonts w:cs="Arial"/>
          <w:b/>
          <w:szCs w:val="20"/>
        </w:rPr>
      </w:pPr>
      <w:r>
        <w:rPr>
          <w:noProof/>
        </w:rPr>
        <mc:AlternateContent>
          <mc:Choice Requires="wps">
            <w:drawing>
              <wp:anchor distT="0" distB="0" distL="114300" distR="114300" simplePos="0" relativeHeight="251657216" behindDoc="0" locked="0" layoutInCell="1" allowOverlap="1" wp14:anchorId="5572A610" wp14:editId="3D5B858F">
                <wp:simplePos x="0" y="0"/>
                <wp:positionH relativeFrom="column">
                  <wp:posOffset>2082800</wp:posOffset>
                </wp:positionH>
                <wp:positionV relativeFrom="paragraph">
                  <wp:posOffset>-604520</wp:posOffset>
                </wp:positionV>
                <wp:extent cx="4724400" cy="60515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05155"/>
                        </a:xfrm>
                        <a:prstGeom prst="rect">
                          <a:avLst/>
                        </a:prstGeom>
                        <a:noFill/>
                        <a:ln>
                          <a:noFill/>
                        </a:ln>
                      </wps:spPr>
                      <wps:txbx>
                        <w:txbxContent>
                          <w:p w14:paraId="448F9F14" w14:textId="77777777" w:rsidR="00D147A9" w:rsidRPr="000B4DEA" w:rsidRDefault="00160EF0" w:rsidP="006B5260">
                            <w:pPr>
                              <w:jc w:val="center"/>
                              <w:rPr>
                                <w:color w:val="FFFFFF"/>
                                <w:spacing w:val="40"/>
                                <w:sz w:val="44"/>
                                <w:szCs w:val="44"/>
                              </w:rPr>
                            </w:pPr>
                            <w:r>
                              <w:rPr>
                                <w:color w:val="FFFFFF"/>
                                <w:spacing w:val="40"/>
                                <w:sz w:val="44"/>
                                <w:szCs w:val="44"/>
                              </w:rPr>
                              <w:t>Issue Brief</w:t>
                            </w:r>
                          </w:p>
                          <w:p w14:paraId="54D6A296" w14:textId="77777777" w:rsidR="008E0604" w:rsidRPr="00D636DB" w:rsidRDefault="008E0604" w:rsidP="006B5260">
                            <w:pPr>
                              <w:jc w:val="center"/>
                              <w:rPr>
                                <w:color w:val="BFBFBF"/>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572A610" id="_x0000_t202" coordsize="21600,21600" o:spt="202" path="m,l,21600r21600,l21600,xe">
                <v:stroke joinstyle="miter"/>
                <v:path gradientshapeok="t" o:connecttype="rect"/>
              </v:shapetype>
              <v:shape id="Text Box 8" o:spid="_x0000_s1026" type="#_x0000_t202" style="position:absolute;left:0;text-align:left;margin-left:164pt;margin-top:-47.6pt;width:372pt;height:4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" filled="f" stroked="f">
                <v:textbox>
                  <w:txbxContent>
                    <w:p w14:paraId="448F9F14" w14:textId="77777777" w:rsidR="00D147A9" w:rsidRPr="000B4DEA" w:rsidRDefault="00160EF0" w:rsidP="006B5260">
                      <w:pPr>
                        <w:jc w:val="center"/>
                        <w:rPr>
                          <w:color w:val="FFFFFF"/>
                          <w:spacing w:val="40"/>
                          <w:sz w:val="44"/>
                          <w:szCs w:val="44"/>
                        </w:rPr>
                      </w:pPr>
                      <w:r>
                        <w:rPr>
                          <w:color w:val="FFFFFF"/>
                          <w:spacing w:val="40"/>
                          <w:sz w:val="44"/>
                          <w:szCs w:val="44"/>
                        </w:rPr>
                        <w:t>Issue Brief</w:t>
                      </w:r>
                    </w:p>
                    <w:p w14:paraId="54D6A296" w14:textId="77777777" w:rsidR="008E0604" w:rsidRPr="00D636DB" w:rsidRDefault="008E0604" w:rsidP="006B5260">
                      <w:pPr>
                        <w:jc w:val="center"/>
                        <w:rPr>
                          <w:color w:val="BFBFBF"/>
                          <w:sz w:val="72"/>
                          <w:szCs w:val="72"/>
                        </w:rPr>
                      </w:pPr>
                    </w:p>
                  </w:txbxContent>
                </v:textbox>
              </v:shape>
            </w:pict>
          </mc:Fallback>
        </mc:AlternateContent>
      </w:r>
      <w:r>
        <w:rPr>
          <w:noProof/>
        </w:rPr>
        <w:drawing>
          <wp:anchor distT="0" distB="0" distL="114300" distR="114300" simplePos="0" relativeHeight="251658240" behindDoc="1" locked="0" layoutInCell="1" allowOverlap="1" wp14:anchorId="2A598A6E" wp14:editId="4D62AB00">
            <wp:simplePos x="0" y="0"/>
            <wp:positionH relativeFrom="column">
              <wp:posOffset>-964565</wp:posOffset>
            </wp:positionH>
            <wp:positionV relativeFrom="paragraph">
              <wp:posOffset>-802005</wp:posOffset>
            </wp:positionV>
            <wp:extent cx="7823200" cy="802640"/>
            <wp:effectExtent l="0" t="0" r="0" b="0"/>
            <wp:wrapNone/>
            <wp:docPr id="2" name="Picture 24" descr="Description: heade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header_pri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2320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54696" w14:textId="77777777" w:rsidR="001824D9" w:rsidRPr="007A388B" w:rsidRDefault="001824D9" w:rsidP="00DD1020">
      <w:pPr>
        <w:rPr>
          <w:rFonts w:cs="Arial"/>
          <w:b/>
          <w:szCs w:val="20"/>
        </w:rPr>
      </w:pPr>
    </w:p>
    <w:p w14:paraId="33E1B299" w14:textId="77777777" w:rsidR="009F128D" w:rsidRPr="007A388B" w:rsidRDefault="009F128D" w:rsidP="009F128D">
      <w:pPr>
        <w:ind w:left="0"/>
        <w:rPr>
          <w:rFonts w:cs="Arial"/>
          <w:b/>
          <w:sz w:val="28"/>
          <w:szCs w:val="28"/>
        </w:rPr>
      </w:pPr>
      <w:r w:rsidRPr="007A388B">
        <w:rPr>
          <w:rFonts w:cs="Arial"/>
          <w:b/>
          <w:sz w:val="28"/>
          <w:szCs w:val="28"/>
        </w:rPr>
        <w:t>Affordability Considerations</w:t>
      </w:r>
    </w:p>
    <w:p w14:paraId="748D63B5" w14:textId="77777777" w:rsidR="009F128D" w:rsidRPr="007A388B" w:rsidRDefault="009F128D" w:rsidP="009F128D">
      <w:pPr>
        <w:ind w:left="0"/>
        <w:rPr>
          <w:rFonts w:cs="Arial"/>
          <w:b/>
          <w:szCs w:val="20"/>
        </w:rPr>
      </w:pPr>
    </w:p>
    <w:p w14:paraId="6F370592" w14:textId="2194AA19" w:rsidR="009F128D" w:rsidRPr="007A388B" w:rsidRDefault="009F128D" w:rsidP="009F128D">
      <w:pPr>
        <w:ind w:left="0"/>
        <w:rPr>
          <w:rFonts w:cs="Arial"/>
          <w:b/>
          <w:szCs w:val="20"/>
        </w:rPr>
      </w:pPr>
      <w:r w:rsidRPr="007A388B">
        <w:rPr>
          <w:rFonts w:cs="Arial"/>
          <w:b/>
          <w:szCs w:val="20"/>
        </w:rPr>
        <w:t xml:space="preserve">Issue Date: </w:t>
      </w:r>
      <w:r w:rsidR="00321DB3">
        <w:rPr>
          <w:rFonts w:cs="Arial"/>
          <w:b/>
          <w:szCs w:val="20"/>
        </w:rPr>
        <w:t>September</w:t>
      </w:r>
      <w:r w:rsidR="00EC7F7C">
        <w:rPr>
          <w:rFonts w:cs="Arial"/>
          <w:b/>
          <w:szCs w:val="20"/>
        </w:rPr>
        <w:t xml:space="preserve"> 202</w:t>
      </w:r>
      <w:r w:rsidR="00321DB3">
        <w:rPr>
          <w:rFonts w:cs="Arial"/>
          <w:b/>
          <w:szCs w:val="20"/>
        </w:rPr>
        <w:t>1</w:t>
      </w:r>
    </w:p>
    <w:p w14:paraId="2CDDA4C1" w14:textId="77777777" w:rsidR="009F128D" w:rsidRPr="007A388B" w:rsidRDefault="009F128D" w:rsidP="009F128D">
      <w:pPr>
        <w:ind w:left="0"/>
        <w:rPr>
          <w:rFonts w:cs="Arial"/>
          <w:color w:val="000000"/>
          <w:szCs w:val="20"/>
        </w:rPr>
      </w:pPr>
    </w:p>
    <w:p w14:paraId="4E065D8C" w14:textId="77777777" w:rsidR="009F128D" w:rsidRPr="007A388B" w:rsidRDefault="009F128D" w:rsidP="009F128D">
      <w:pPr>
        <w:ind w:left="0"/>
        <w:rPr>
          <w:rFonts w:cs="Arial"/>
          <w:color w:val="000000"/>
          <w:szCs w:val="20"/>
        </w:rPr>
      </w:pPr>
      <w:r w:rsidRPr="007A388B">
        <w:rPr>
          <w:rFonts w:cs="Arial"/>
          <w:color w:val="000000"/>
          <w:szCs w:val="20"/>
        </w:rPr>
        <w:t xml:space="preserve">For purposes of individual eligibility for </w:t>
      </w:r>
      <w:r w:rsidR="006973D7" w:rsidRPr="007A388B">
        <w:rPr>
          <w:rFonts w:cs="Arial"/>
          <w:color w:val="000000"/>
          <w:szCs w:val="20"/>
        </w:rPr>
        <w:t xml:space="preserve">tax subsidies through a public </w:t>
      </w:r>
      <w:r w:rsidR="00D878EE" w:rsidRPr="007A388B">
        <w:rPr>
          <w:rFonts w:cs="Arial"/>
          <w:color w:val="000000"/>
          <w:szCs w:val="20"/>
        </w:rPr>
        <w:t>E</w:t>
      </w:r>
      <w:r w:rsidRPr="007A388B">
        <w:rPr>
          <w:rFonts w:cs="Arial"/>
          <w:color w:val="000000"/>
          <w:szCs w:val="20"/>
        </w:rPr>
        <w:t xml:space="preserve">xchange, and for compliance with the employer shared responsibility rules under </w:t>
      </w:r>
      <w:r w:rsidR="00D878EE" w:rsidRPr="007A388B">
        <w:rPr>
          <w:rFonts w:cs="Arial"/>
          <w:color w:val="000000"/>
          <w:szCs w:val="20"/>
        </w:rPr>
        <w:t>§</w:t>
      </w:r>
      <w:r w:rsidRPr="007A388B">
        <w:rPr>
          <w:rFonts w:cs="Arial"/>
          <w:color w:val="000000"/>
          <w:szCs w:val="20"/>
        </w:rPr>
        <w:t xml:space="preserve">4980H, it is important to understand </w:t>
      </w:r>
      <w:r w:rsidR="009634AE" w:rsidRPr="007A388B">
        <w:rPr>
          <w:rFonts w:cs="Arial"/>
          <w:color w:val="000000"/>
          <w:szCs w:val="20"/>
        </w:rPr>
        <w:t>whether</w:t>
      </w:r>
      <w:r w:rsidRPr="007A388B">
        <w:rPr>
          <w:rFonts w:cs="Arial"/>
          <w:color w:val="000000"/>
          <w:szCs w:val="20"/>
        </w:rPr>
        <w:t xml:space="preserve"> coverage offered under an employer-sponsored group health plan is “affordable.” When setting plan contribution rates</w:t>
      </w:r>
      <w:r w:rsidR="00D878EE" w:rsidRPr="007A388B">
        <w:rPr>
          <w:rFonts w:cs="Arial"/>
          <w:color w:val="000000"/>
          <w:szCs w:val="20"/>
        </w:rPr>
        <w:t>,</w:t>
      </w:r>
      <w:r w:rsidRPr="007A388B">
        <w:rPr>
          <w:rFonts w:cs="Arial"/>
          <w:color w:val="000000"/>
          <w:szCs w:val="20"/>
        </w:rPr>
        <w:t xml:space="preserve"> employers must consider IRS employer affordability safe harbors, the various elements that play into the determination of the employee contribution, and the penalties associated with failing to offer affordable coverage. </w:t>
      </w:r>
    </w:p>
    <w:p w14:paraId="653FB11A" w14:textId="77777777" w:rsidR="009F128D" w:rsidRPr="007A388B" w:rsidRDefault="009F128D" w:rsidP="009F128D">
      <w:pPr>
        <w:ind w:left="0"/>
        <w:rPr>
          <w:rFonts w:cs="Arial"/>
          <w:color w:val="000000"/>
          <w:szCs w:val="20"/>
        </w:rPr>
      </w:pPr>
    </w:p>
    <w:p w14:paraId="577A2C34" w14:textId="77777777" w:rsidR="009F128D" w:rsidRPr="007A388B" w:rsidRDefault="009F128D" w:rsidP="009F128D">
      <w:pPr>
        <w:pStyle w:val="Heading2"/>
        <w:spacing w:before="0"/>
        <w:ind w:left="0"/>
        <w:rPr>
          <w:rFonts w:ascii="Arial" w:hAnsi="Arial" w:cs="Arial"/>
          <w:sz w:val="20"/>
          <w:szCs w:val="20"/>
        </w:rPr>
      </w:pPr>
      <w:r w:rsidRPr="007A388B">
        <w:rPr>
          <w:rFonts w:ascii="Arial" w:hAnsi="Arial" w:cs="Arial"/>
          <w:sz w:val="20"/>
          <w:szCs w:val="20"/>
        </w:rPr>
        <w:t>Background</w:t>
      </w:r>
    </w:p>
    <w:p w14:paraId="385D4C9D" w14:textId="11AFB280" w:rsidR="008666BB" w:rsidRPr="007A388B" w:rsidRDefault="009F128D" w:rsidP="008666BB">
      <w:pPr>
        <w:ind w:left="0"/>
        <w:rPr>
          <w:rFonts w:cs="Arial"/>
          <w:szCs w:val="20"/>
        </w:rPr>
      </w:pPr>
      <w:bookmarkStart w:id="0" w:name="HCRFRMq3954z1"/>
      <w:bookmarkStart w:id="1" w:name="cade1d0c15d56417b0acf4d5c34e0612"/>
      <w:bookmarkStart w:id="2" w:name="HCRFRMq3955z1"/>
      <w:bookmarkStart w:id="3" w:name="9d57e226c5f9617ecddae46a52220818"/>
      <w:bookmarkEnd w:id="0"/>
      <w:bookmarkEnd w:id="1"/>
      <w:bookmarkEnd w:id="2"/>
      <w:bookmarkEnd w:id="3"/>
      <w:r w:rsidRPr="007A388B">
        <w:rPr>
          <w:rFonts w:cs="Arial"/>
          <w:szCs w:val="20"/>
        </w:rPr>
        <w:t xml:space="preserve">Applicable large employers—those with 50 or more full-time equivalents (FTEs)—are required to comply with the employer shared responsibility rules under </w:t>
      </w:r>
      <w:r w:rsidR="00D878EE" w:rsidRPr="007A388B">
        <w:rPr>
          <w:rFonts w:cs="Arial"/>
          <w:szCs w:val="20"/>
        </w:rPr>
        <w:t>§</w:t>
      </w:r>
      <w:r w:rsidRPr="007A388B">
        <w:rPr>
          <w:rFonts w:cs="Arial"/>
          <w:szCs w:val="20"/>
        </w:rPr>
        <w:t>4980H (also known as the “employer mandate”). To avoid potential penalties, employers are required to offer minimum value, affordable coverage to full-time employees and their dependent children. In addition, individuals who are offered (or eligible for) minimum value, affordable coverage under an employer-sponsored group health plan are not eligible for a tax subsidy when purchasing individual hea</w:t>
      </w:r>
      <w:r w:rsidR="007E4ADD" w:rsidRPr="007A388B">
        <w:rPr>
          <w:rFonts w:cs="Arial"/>
          <w:szCs w:val="20"/>
        </w:rPr>
        <w:t xml:space="preserve">lth insurance through a public </w:t>
      </w:r>
      <w:r w:rsidR="00D878EE" w:rsidRPr="007A388B">
        <w:rPr>
          <w:rFonts w:cs="Arial"/>
          <w:szCs w:val="20"/>
        </w:rPr>
        <w:t>E</w:t>
      </w:r>
      <w:r w:rsidRPr="007A388B">
        <w:rPr>
          <w:rFonts w:cs="Arial"/>
          <w:szCs w:val="20"/>
        </w:rPr>
        <w:t xml:space="preserve">xchange. </w:t>
      </w:r>
    </w:p>
    <w:p w14:paraId="3330187D" w14:textId="0A32E5D9" w:rsidR="00C23112" w:rsidRPr="007A388B" w:rsidRDefault="008666BB" w:rsidP="00C23112">
      <w:pPr>
        <w:numPr>
          <w:ilvl w:val="0"/>
          <w:numId w:val="12"/>
        </w:numPr>
        <w:rPr>
          <w:rFonts w:cs="Arial"/>
          <w:szCs w:val="20"/>
        </w:rPr>
      </w:pPr>
      <w:r w:rsidRPr="007A388B">
        <w:rPr>
          <w:rFonts w:cs="Arial"/>
          <w:szCs w:val="20"/>
        </w:rPr>
        <w:t>Coverage is generally considered “affordable”</w:t>
      </w:r>
      <w:r w:rsidR="009A29C5" w:rsidRPr="007A388B">
        <w:rPr>
          <w:rFonts w:cs="Arial"/>
          <w:szCs w:val="20"/>
        </w:rPr>
        <w:t xml:space="preserve"> </w:t>
      </w:r>
      <w:r w:rsidRPr="007A388B">
        <w:rPr>
          <w:rFonts w:cs="Arial"/>
          <w:szCs w:val="20"/>
        </w:rPr>
        <w:t>if the employee contribution for employee-only (single) coverage does not exceed a set percentage (9.</w:t>
      </w:r>
      <w:r w:rsidR="00321DB3">
        <w:rPr>
          <w:rFonts w:cs="Arial"/>
          <w:szCs w:val="20"/>
        </w:rPr>
        <w:t>61</w:t>
      </w:r>
      <w:r w:rsidRPr="007A388B">
        <w:rPr>
          <w:rFonts w:cs="Arial"/>
          <w:szCs w:val="20"/>
        </w:rPr>
        <w:t>% in 202</w:t>
      </w:r>
      <w:r w:rsidR="00321DB3">
        <w:rPr>
          <w:rFonts w:cs="Arial"/>
          <w:szCs w:val="20"/>
        </w:rPr>
        <w:t>2</w:t>
      </w:r>
      <w:r w:rsidRPr="007A388B">
        <w:rPr>
          <w:rFonts w:cs="Arial"/>
          <w:szCs w:val="20"/>
        </w:rPr>
        <w:t xml:space="preserve">) of household income. </w:t>
      </w:r>
      <w:r w:rsidRPr="007A388B">
        <w:rPr>
          <w:rFonts w:cs="Arial"/>
          <w:i/>
          <w:szCs w:val="20"/>
        </w:rPr>
        <w:t>Coverage is considered affordable for dependents as well, regardless of the contribution amount, so long as the employee-only (single) coverage is affordable.</w:t>
      </w:r>
      <w:r w:rsidRPr="007A388B">
        <w:rPr>
          <w:rFonts w:cs="Arial"/>
          <w:szCs w:val="20"/>
        </w:rPr>
        <w:t xml:space="preserve"> </w:t>
      </w:r>
    </w:p>
    <w:p w14:paraId="572846CE" w14:textId="77777777" w:rsidR="008666BB" w:rsidRPr="007A388B" w:rsidRDefault="008666BB" w:rsidP="00B1435D">
      <w:pPr>
        <w:numPr>
          <w:ilvl w:val="0"/>
          <w:numId w:val="12"/>
        </w:numPr>
        <w:rPr>
          <w:rFonts w:cs="Arial"/>
          <w:szCs w:val="20"/>
        </w:rPr>
      </w:pPr>
      <w:r w:rsidRPr="007A388B">
        <w:rPr>
          <w:rFonts w:cs="Arial"/>
          <w:szCs w:val="20"/>
        </w:rPr>
        <w:t>Coverage is also considered “affordable” for purposes of satisfying §4980H(b) requirements so long as the employee contribution satisfies at least one of three available safe harbors (i.e., federal poverty level (FPL), rate of pay, or Form W-2).</w:t>
      </w:r>
    </w:p>
    <w:p w14:paraId="3F312D0B" w14:textId="77777777" w:rsidR="008666BB" w:rsidRPr="007A388B" w:rsidRDefault="008666BB" w:rsidP="008666BB">
      <w:pPr>
        <w:ind w:left="0"/>
        <w:rPr>
          <w:rFonts w:cs="Arial"/>
          <w:szCs w:val="20"/>
        </w:rPr>
      </w:pPr>
    </w:p>
    <w:p w14:paraId="5C99E186" w14:textId="77777777" w:rsidR="008666BB" w:rsidRPr="007A388B" w:rsidRDefault="008666BB" w:rsidP="008666BB">
      <w:pPr>
        <w:ind w:left="0"/>
        <w:rPr>
          <w:rFonts w:cs="Arial"/>
          <w:b/>
          <w:szCs w:val="20"/>
        </w:rPr>
      </w:pPr>
      <w:r w:rsidRPr="007A388B">
        <w:rPr>
          <w:rFonts w:cs="Arial"/>
          <w:b/>
          <w:szCs w:val="20"/>
        </w:rPr>
        <w:t>Required Contribution Percentage</w:t>
      </w:r>
    </w:p>
    <w:p w14:paraId="166DCC6A" w14:textId="77777777" w:rsidR="008666BB" w:rsidRPr="007A388B" w:rsidRDefault="008666BB" w:rsidP="008666BB">
      <w:pPr>
        <w:ind w:left="0"/>
        <w:rPr>
          <w:rFonts w:cs="Arial"/>
          <w:szCs w:val="20"/>
        </w:rPr>
      </w:pPr>
      <w:r w:rsidRPr="007A388B">
        <w:rPr>
          <w:rFonts w:cs="Arial"/>
          <w:szCs w:val="20"/>
        </w:rPr>
        <w:t>Originally, for 2014, the required contribution percentage for determining affordability was set at 9.5%. The percentage is adjusted annually. See applicable percentages for each year in the table below.</w:t>
      </w:r>
    </w:p>
    <w:p w14:paraId="0D47C638" w14:textId="77777777" w:rsidR="008666BB" w:rsidRPr="007A388B" w:rsidRDefault="008666BB" w:rsidP="008666BB">
      <w:pPr>
        <w:ind w:left="0"/>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84"/>
        <w:gridCol w:w="810"/>
        <w:gridCol w:w="810"/>
        <w:gridCol w:w="810"/>
        <w:gridCol w:w="810"/>
        <w:gridCol w:w="810"/>
        <w:gridCol w:w="810"/>
        <w:gridCol w:w="810"/>
      </w:tblGrid>
      <w:tr w:rsidR="00321DB3" w:rsidRPr="007A388B" w14:paraId="4C738515" w14:textId="35E98570" w:rsidTr="00321DB3">
        <w:tc>
          <w:tcPr>
            <w:tcW w:w="1800" w:type="dxa"/>
            <w:vMerge w:val="restart"/>
            <w:tcBorders>
              <w:top w:val="nil"/>
              <w:left w:val="nil"/>
              <w:right w:val="single" w:sz="4" w:space="0" w:color="auto"/>
            </w:tcBorders>
            <w:shd w:val="clear" w:color="auto" w:fill="7F7F7F"/>
          </w:tcPr>
          <w:p w14:paraId="158BFF4E" w14:textId="58CBAD2C" w:rsidR="00321DB3" w:rsidRPr="00321DB3" w:rsidRDefault="00321DB3" w:rsidP="00321DB3">
            <w:pPr>
              <w:ind w:left="0"/>
              <w:jc w:val="center"/>
              <w:rPr>
                <w:rFonts w:cs="Arial"/>
                <w:color w:val="FFFFFF" w:themeColor="background1"/>
                <w:szCs w:val="20"/>
              </w:rPr>
            </w:pPr>
            <w:r w:rsidRPr="00321DB3">
              <w:rPr>
                <w:rFonts w:cs="Arial"/>
                <w:b/>
                <w:color w:val="FFFFFF" w:themeColor="background1"/>
                <w:szCs w:val="20"/>
              </w:rPr>
              <w:t>Affordability Percentage</w:t>
            </w:r>
          </w:p>
        </w:tc>
        <w:tc>
          <w:tcPr>
            <w:tcW w:w="784" w:type="dxa"/>
            <w:tcBorders>
              <w:left w:val="single" w:sz="4" w:space="0" w:color="auto"/>
            </w:tcBorders>
            <w:shd w:val="clear" w:color="auto" w:fill="D9E2F3"/>
          </w:tcPr>
          <w:p w14:paraId="36CE0637" w14:textId="77777777" w:rsidR="00321DB3" w:rsidRPr="007A388B" w:rsidRDefault="00321DB3" w:rsidP="008666BB">
            <w:pPr>
              <w:ind w:left="0"/>
              <w:rPr>
                <w:rFonts w:cs="Arial"/>
                <w:b/>
                <w:szCs w:val="20"/>
              </w:rPr>
            </w:pPr>
            <w:r w:rsidRPr="007A388B">
              <w:rPr>
                <w:rFonts w:cs="Arial"/>
                <w:b/>
                <w:szCs w:val="20"/>
              </w:rPr>
              <w:t>2015</w:t>
            </w:r>
          </w:p>
        </w:tc>
        <w:tc>
          <w:tcPr>
            <w:tcW w:w="810" w:type="dxa"/>
            <w:shd w:val="clear" w:color="auto" w:fill="D9E2F3"/>
          </w:tcPr>
          <w:p w14:paraId="18D12C46" w14:textId="77777777" w:rsidR="00321DB3" w:rsidRPr="007A388B" w:rsidRDefault="00321DB3" w:rsidP="008666BB">
            <w:pPr>
              <w:ind w:left="0"/>
              <w:rPr>
                <w:rFonts w:cs="Arial"/>
                <w:b/>
                <w:szCs w:val="20"/>
              </w:rPr>
            </w:pPr>
            <w:r w:rsidRPr="007A388B">
              <w:rPr>
                <w:rFonts w:cs="Arial"/>
                <w:b/>
                <w:szCs w:val="20"/>
              </w:rPr>
              <w:t>2016</w:t>
            </w:r>
          </w:p>
        </w:tc>
        <w:tc>
          <w:tcPr>
            <w:tcW w:w="810" w:type="dxa"/>
            <w:shd w:val="clear" w:color="auto" w:fill="D9E2F3"/>
          </w:tcPr>
          <w:p w14:paraId="2B9C2710" w14:textId="77777777" w:rsidR="00321DB3" w:rsidRPr="007A388B" w:rsidRDefault="00321DB3" w:rsidP="008666BB">
            <w:pPr>
              <w:ind w:left="0"/>
              <w:rPr>
                <w:rFonts w:cs="Arial"/>
                <w:b/>
                <w:szCs w:val="20"/>
              </w:rPr>
            </w:pPr>
            <w:r w:rsidRPr="007A388B">
              <w:rPr>
                <w:rFonts w:cs="Arial"/>
                <w:b/>
                <w:szCs w:val="20"/>
              </w:rPr>
              <w:t>2017</w:t>
            </w:r>
          </w:p>
        </w:tc>
        <w:tc>
          <w:tcPr>
            <w:tcW w:w="810" w:type="dxa"/>
            <w:shd w:val="clear" w:color="auto" w:fill="D9E2F3"/>
          </w:tcPr>
          <w:p w14:paraId="20935C0B" w14:textId="77777777" w:rsidR="00321DB3" w:rsidRPr="007A388B" w:rsidRDefault="00321DB3" w:rsidP="008666BB">
            <w:pPr>
              <w:ind w:left="0"/>
              <w:rPr>
                <w:rFonts w:cs="Arial"/>
                <w:b/>
                <w:szCs w:val="20"/>
              </w:rPr>
            </w:pPr>
            <w:r w:rsidRPr="007A388B">
              <w:rPr>
                <w:rFonts w:cs="Arial"/>
                <w:b/>
                <w:szCs w:val="20"/>
              </w:rPr>
              <w:t>2018</w:t>
            </w:r>
          </w:p>
        </w:tc>
        <w:tc>
          <w:tcPr>
            <w:tcW w:w="810" w:type="dxa"/>
            <w:shd w:val="clear" w:color="auto" w:fill="D9E2F3"/>
          </w:tcPr>
          <w:p w14:paraId="503ED38F" w14:textId="77777777" w:rsidR="00321DB3" w:rsidRPr="007A388B" w:rsidRDefault="00321DB3" w:rsidP="008666BB">
            <w:pPr>
              <w:ind w:left="0"/>
              <w:rPr>
                <w:rFonts w:cs="Arial"/>
                <w:b/>
                <w:szCs w:val="20"/>
              </w:rPr>
            </w:pPr>
            <w:r w:rsidRPr="007A388B">
              <w:rPr>
                <w:rFonts w:cs="Arial"/>
                <w:b/>
                <w:szCs w:val="20"/>
              </w:rPr>
              <w:t>2019</w:t>
            </w:r>
          </w:p>
        </w:tc>
        <w:tc>
          <w:tcPr>
            <w:tcW w:w="810" w:type="dxa"/>
            <w:shd w:val="clear" w:color="auto" w:fill="D9E2F3"/>
          </w:tcPr>
          <w:p w14:paraId="1546EC52" w14:textId="77777777" w:rsidR="00321DB3" w:rsidRPr="007A388B" w:rsidRDefault="00321DB3" w:rsidP="008666BB">
            <w:pPr>
              <w:ind w:left="0"/>
              <w:rPr>
                <w:rFonts w:cs="Arial"/>
                <w:b/>
                <w:szCs w:val="20"/>
              </w:rPr>
            </w:pPr>
            <w:r w:rsidRPr="007A388B">
              <w:rPr>
                <w:rFonts w:cs="Arial"/>
                <w:b/>
                <w:szCs w:val="20"/>
              </w:rPr>
              <w:t>2020</w:t>
            </w:r>
          </w:p>
        </w:tc>
        <w:tc>
          <w:tcPr>
            <w:tcW w:w="810" w:type="dxa"/>
            <w:shd w:val="clear" w:color="auto" w:fill="D9E2F3"/>
          </w:tcPr>
          <w:p w14:paraId="5CE4B152" w14:textId="77777777" w:rsidR="00321DB3" w:rsidRPr="007A388B" w:rsidRDefault="00321DB3" w:rsidP="008666BB">
            <w:pPr>
              <w:ind w:left="0"/>
              <w:rPr>
                <w:rFonts w:cs="Arial"/>
                <w:b/>
                <w:szCs w:val="20"/>
              </w:rPr>
            </w:pPr>
            <w:r>
              <w:rPr>
                <w:rFonts w:cs="Arial"/>
                <w:b/>
                <w:szCs w:val="20"/>
              </w:rPr>
              <w:t>2021</w:t>
            </w:r>
          </w:p>
        </w:tc>
        <w:tc>
          <w:tcPr>
            <w:tcW w:w="810" w:type="dxa"/>
            <w:shd w:val="clear" w:color="auto" w:fill="D9E2F3"/>
          </w:tcPr>
          <w:p w14:paraId="5AB0F087" w14:textId="2ADD7A41" w:rsidR="00321DB3" w:rsidRDefault="00321DB3" w:rsidP="008666BB">
            <w:pPr>
              <w:ind w:left="0"/>
              <w:rPr>
                <w:rFonts w:cs="Arial"/>
                <w:b/>
                <w:szCs w:val="20"/>
              </w:rPr>
            </w:pPr>
            <w:r>
              <w:rPr>
                <w:rFonts w:cs="Arial"/>
                <w:b/>
                <w:szCs w:val="20"/>
              </w:rPr>
              <w:t>2022</w:t>
            </w:r>
          </w:p>
        </w:tc>
      </w:tr>
      <w:tr w:rsidR="00321DB3" w:rsidRPr="007A388B" w14:paraId="736ED8F2" w14:textId="510858E3" w:rsidTr="00321DB3">
        <w:tc>
          <w:tcPr>
            <w:tcW w:w="1800" w:type="dxa"/>
            <w:vMerge/>
            <w:tcBorders>
              <w:left w:val="single" w:sz="4" w:space="0" w:color="auto"/>
              <w:bottom w:val="single" w:sz="4" w:space="0" w:color="auto"/>
              <w:right w:val="single" w:sz="4" w:space="0" w:color="auto"/>
            </w:tcBorders>
            <w:shd w:val="clear" w:color="auto" w:fill="D9E2F3"/>
          </w:tcPr>
          <w:p w14:paraId="06C55EDC" w14:textId="6549BC5A" w:rsidR="00321DB3" w:rsidRPr="007A388B" w:rsidRDefault="00321DB3" w:rsidP="008666BB">
            <w:pPr>
              <w:ind w:left="0"/>
              <w:rPr>
                <w:rFonts w:cs="Arial"/>
                <w:b/>
                <w:szCs w:val="20"/>
              </w:rPr>
            </w:pPr>
          </w:p>
        </w:tc>
        <w:tc>
          <w:tcPr>
            <w:tcW w:w="784" w:type="dxa"/>
            <w:tcBorders>
              <w:left w:val="single" w:sz="4" w:space="0" w:color="auto"/>
            </w:tcBorders>
            <w:shd w:val="clear" w:color="auto" w:fill="E7E6E6"/>
          </w:tcPr>
          <w:p w14:paraId="5CD4C46F" w14:textId="77777777" w:rsidR="00321DB3" w:rsidRPr="007A388B" w:rsidRDefault="00321DB3" w:rsidP="008666BB">
            <w:pPr>
              <w:ind w:left="0"/>
              <w:rPr>
                <w:rFonts w:cs="Arial"/>
                <w:szCs w:val="20"/>
              </w:rPr>
            </w:pPr>
            <w:r w:rsidRPr="007A388B">
              <w:rPr>
                <w:rFonts w:cs="Arial"/>
                <w:szCs w:val="20"/>
              </w:rPr>
              <w:t>9.56%</w:t>
            </w:r>
          </w:p>
        </w:tc>
        <w:tc>
          <w:tcPr>
            <w:tcW w:w="810" w:type="dxa"/>
            <w:shd w:val="clear" w:color="auto" w:fill="E7E6E6"/>
          </w:tcPr>
          <w:p w14:paraId="6980BE19" w14:textId="77777777" w:rsidR="00321DB3" w:rsidRPr="007A388B" w:rsidRDefault="00321DB3" w:rsidP="008666BB">
            <w:pPr>
              <w:ind w:left="0"/>
              <w:rPr>
                <w:rFonts w:cs="Arial"/>
                <w:szCs w:val="20"/>
              </w:rPr>
            </w:pPr>
            <w:r w:rsidRPr="007A388B">
              <w:rPr>
                <w:rFonts w:cs="Arial"/>
                <w:szCs w:val="20"/>
              </w:rPr>
              <w:t>9.66%</w:t>
            </w:r>
          </w:p>
        </w:tc>
        <w:tc>
          <w:tcPr>
            <w:tcW w:w="810" w:type="dxa"/>
            <w:shd w:val="clear" w:color="auto" w:fill="E7E6E6"/>
          </w:tcPr>
          <w:p w14:paraId="0B09B4E1" w14:textId="77777777" w:rsidR="00321DB3" w:rsidRPr="007A388B" w:rsidRDefault="00321DB3" w:rsidP="008666BB">
            <w:pPr>
              <w:ind w:left="0"/>
              <w:rPr>
                <w:rFonts w:cs="Arial"/>
                <w:szCs w:val="20"/>
              </w:rPr>
            </w:pPr>
            <w:r w:rsidRPr="007A388B">
              <w:rPr>
                <w:rFonts w:cs="Arial"/>
                <w:szCs w:val="20"/>
              </w:rPr>
              <w:t>9.69%</w:t>
            </w:r>
          </w:p>
        </w:tc>
        <w:tc>
          <w:tcPr>
            <w:tcW w:w="810" w:type="dxa"/>
            <w:shd w:val="clear" w:color="auto" w:fill="E7E6E6"/>
          </w:tcPr>
          <w:p w14:paraId="0E6CCF84" w14:textId="77777777" w:rsidR="00321DB3" w:rsidRPr="007A388B" w:rsidRDefault="00321DB3" w:rsidP="008666BB">
            <w:pPr>
              <w:ind w:left="0"/>
              <w:rPr>
                <w:rFonts w:cs="Arial"/>
                <w:szCs w:val="20"/>
              </w:rPr>
            </w:pPr>
            <w:r w:rsidRPr="007A388B">
              <w:rPr>
                <w:rFonts w:cs="Arial"/>
                <w:szCs w:val="20"/>
              </w:rPr>
              <w:t>9.56%</w:t>
            </w:r>
          </w:p>
        </w:tc>
        <w:tc>
          <w:tcPr>
            <w:tcW w:w="810" w:type="dxa"/>
            <w:shd w:val="clear" w:color="auto" w:fill="E7E6E6"/>
          </w:tcPr>
          <w:p w14:paraId="7F61C222" w14:textId="77777777" w:rsidR="00321DB3" w:rsidRPr="007A388B" w:rsidRDefault="00321DB3" w:rsidP="008666BB">
            <w:pPr>
              <w:ind w:left="0"/>
              <w:rPr>
                <w:rFonts w:cs="Arial"/>
                <w:szCs w:val="20"/>
              </w:rPr>
            </w:pPr>
            <w:r w:rsidRPr="007A388B">
              <w:rPr>
                <w:rFonts w:cs="Arial"/>
                <w:szCs w:val="20"/>
              </w:rPr>
              <w:t>9.86%</w:t>
            </w:r>
          </w:p>
        </w:tc>
        <w:tc>
          <w:tcPr>
            <w:tcW w:w="810" w:type="dxa"/>
            <w:shd w:val="clear" w:color="auto" w:fill="E7E6E6"/>
          </w:tcPr>
          <w:p w14:paraId="6461819E" w14:textId="77777777" w:rsidR="00321DB3" w:rsidRPr="007A388B" w:rsidRDefault="00321DB3" w:rsidP="008666BB">
            <w:pPr>
              <w:ind w:left="0"/>
              <w:rPr>
                <w:rFonts w:cs="Arial"/>
                <w:szCs w:val="20"/>
              </w:rPr>
            </w:pPr>
            <w:r w:rsidRPr="007A388B">
              <w:rPr>
                <w:rFonts w:cs="Arial"/>
                <w:szCs w:val="20"/>
              </w:rPr>
              <w:t>9.78%</w:t>
            </w:r>
          </w:p>
        </w:tc>
        <w:tc>
          <w:tcPr>
            <w:tcW w:w="810" w:type="dxa"/>
            <w:shd w:val="clear" w:color="auto" w:fill="E7E6E6"/>
          </w:tcPr>
          <w:p w14:paraId="0BB68090" w14:textId="77777777" w:rsidR="00321DB3" w:rsidRPr="007A388B" w:rsidRDefault="00321DB3" w:rsidP="008666BB">
            <w:pPr>
              <w:ind w:left="0"/>
              <w:rPr>
                <w:rFonts w:cs="Arial"/>
                <w:szCs w:val="20"/>
              </w:rPr>
            </w:pPr>
            <w:r>
              <w:rPr>
                <w:rFonts w:cs="Arial"/>
                <w:szCs w:val="20"/>
              </w:rPr>
              <w:t>9.83%</w:t>
            </w:r>
          </w:p>
        </w:tc>
        <w:tc>
          <w:tcPr>
            <w:tcW w:w="810" w:type="dxa"/>
            <w:shd w:val="clear" w:color="auto" w:fill="E7E6E6"/>
          </w:tcPr>
          <w:p w14:paraId="4846E13E" w14:textId="492DA5EA" w:rsidR="00321DB3" w:rsidRDefault="00321DB3" w:rsidP="008666BB">
            <w:pPr>
              <w:ind w:left="0"/>
              <w:rPr>
                <w:rFonts w:cs="Arial"/>
                <w:szCs w:val="20"/>
              </w:rPr>
            </w:pPr>
            <w:r>
              <w:rPr>
                <w:rFonts w:cs="Arial"/>
                <w:szCs w:val="20"/>
              </w:rPr>
              <w:t>9.61%</w:t>
            </w:r>
          </w:p>
        </w:tc>
      </w:tr>
    </w:tbl>
    <w:p w14:paraId="7E85A46F" w14:textId="77777777" w:rsidR="008666BB" w:rsidRPr="007A388B" w:rsidRDefault="008666BB" w:rsidP="009F128D">
      <w:pPr>
        <w:ind w:left="0"/>
        <w:rPr>
          <w:rFonts w:cs="Arial"/>
          <w:b/>
          <w:szCs w:val="20"/>
        </w:rPr>
      </w:pPr>
    </w:p>
    <w:p w14:paraId="68024583" w14:textId="483E5CA2" w:rsidR="00D506D7" w:rsidRPr="007A388B" w:rsidRDefault="00D506D7" w:rsidP="009F128D">
      <w:pPr>
        <w:ind w:left="0"/>
        <w:rPr>
          <w:rFonts w:cs="Arial"/>
          <w:bCs/>
          <w:szCs w:val="20"/>
        </w:rPr>
      </w:pPr>
      <w:r w:rsidRPr="007A388B">
        <w:rPr>
          <w:rFonts w:cs="Arial"/>
          <w:bCs/>
          <w:szCs w:val="20"/>
        </w:rPr>
        <w:t xml:space="preserve">The affordability percentage adjustments apply for </w:t>
      </w:r>
      <w:r w:rsidRPr="007A388B">
        <w:rPr>
          <w:rFonts w:cs="Arial"/>
          <w:bCs/>
          <w:i/>
          <w:iCs/>
          <w:szCs w:val="20"/>
        </w:rPr>
        <w:t>“plan years beginning in…,”</w:t>
      </w:r>
      <w:r w:rsidRPr="007A388B">
        <w:rPr>
          <w:rFonts w:cs="Arial"/>
          <w:bCs/>
          <w:szCs w:val="20"/>
        </w:rPr>
        <w:t xml:space="preserve"> and therefore an employer with a non-calendar year must apply the percentage for the year in which the plan year begins. For example, an employer with a medical plan year of July - June would use 9.</w:t>
      </w:r>
      <w:r w:rsidR="00321DB3">
        <w:rPr>
          <w:rFonts w:cs="Arial"/>
          <w:bCs/>
          <w:szCs w:val="20"/>
        </w:rPr>
        <w:t>83</w:t>
      </w:r>
      <w:r w:rsidRPr="007A388B">
        <w:rPr>
          <w:rFonts w:cs="Arial"/>
          <w:bCs/>
          <w:szCs w:val="20"/>
        </w:rPr>
        <w:t>% for the plan year beginning in July 20</w:t>
      </w:r>
      <w:r w:rsidR="00EC7F7C">
        <w:rPr>
          <w:rFonts w:cs="Arial"/>
          <w:bCs/>
          <w:szCs w:val="20"/>
        </w:rPr>
        <w:t>2</w:t>
      </w:r>
      <w:r w:rsidR="00321DB3">
        <w:rPr>
          <w:rFonts w:cs="Arial"/>
          <w:bCs/>
          <w:szCs w:val="20"/>
        </w:rPr>
        <w:t>1</w:t>
      </w:r>
      <w:r w:rsidRPr="007A388B">
        <w:rPr>
          <w:rFonts w:cs="Arial"/>
          <w:bCs/>
          <w:szCs w:val="20"/>
        </w:rPr>
        <w:t xml:space="preserve"> and 9.</w:t>
      </w:r>
      <w:r w:rsidR="00321DB3">
        <w:rPr>
          <w:rFonts w:cs="Arial"/>
          <w:bCs/>
          <w:szCs w:val="20"/>
        </w:rPr>
        <w:t>61</w:t>
      </w:r>
      <w:r w:rsidRPr="007A388B">
        <w:rPr>
          <w:rFonts w:cs="Arial"/>
          <w:bCs/>
          <w:szCs w:val="20"/>
        </w:rPr>
        <w:t>% for the plan year beginning July 20</w:t>
      </w:r>
      <w:r w:rsidR="00EC7F7C">
        <w:rPr>
          <w:rFonts w:cs="Arial"/>
          <w:bCs/>
          <w:szCs w:val="20"/>
        </w:rPr>
        <w:t>2</w:t>
      </w:r>
      <w:r w:rsidR="00321DB3">
        <w:rPr>
          <w:rFonts w:cs="Arial"/>
          <w:bCs/>
          <w:szCs w:val="20"/>
        </w:rPr>
        <w:t>2</w:t>
      </w:r>
      <w:r w:rsidRPr="007A388B">
        <w:rPr>
          <w:rFonts w:cs="Arial"/>
          <w:bCs/>
          <w:szCs w:val="20"/>
        </w:rPr>
        <w:t>.</w:t>
      </w:r>
    </w:p>
    <w:p w14:paraId="3A3190ED" w14:textId="77777777" w:rsidR="00D506D7" w:rsidRPr="007A388B" w:rsidRDefault="00D506D7" w:rsidP="009F128D">
      <w:pPr>
        <w:ind w:left="0"/>
        <w:rPr>
          <w:rFonts w:cs="Arial"/>
          <w:bCs/>
          <w:szCs w:val="20"/>
        </w:rPr>
      </w:pPr>
    </w:p>
    <w:p w14:paraId="1A91A1E0" w14:textId="77777777" w:rsidR="009F128D" w:rsidRPr="007A388B" w:rsidRDefault="009F128D" w:rsidP="009F128D">
      <w:pPr>
        <w:ind w:left="0"/>
        <w:rPr>
          <w:rFonts w:cs="Arial"/>
          <w:b/>
          <w:szCs w:val="20"/>
        </w:rPr>
      </w:pPr>
      <w:r w:rsidRPr="007A388B">
        <w:rPr>
          <w:rFonts w:cs="Arial"/>
          <w:b/>
          <w:szCs w:val="20"/>
        </w:rPr>
        <w:t>Affordability Safe Harbors</w:t>
      </w:r>
    </w:p>
    <w:p w14:paraId="5FFBD6AE" w14:textId="77777777" w:rsidR="003C1F48" w:rsidRPr="007A388B" w:rsidRDefault="009F128D" w:rsidP="009F128D">
      <w:pPr>
        <w:ind w:left="0"/>
        <w:rPr>
          <w:rFonts w:cs="Arial"/>
        </w:rPr>
      </w:pPr>
      <w:r w:rsidRPr="007A388B">
        <w:rPr>
          <w:rFonts w:cs="Arial"/>
          <w:szCs w:val="20"/>
        </w:rPr>
        <w:t>An employer is unlikely to know the employee’s household income, so the IRS provided three employer affordability safe harbors. </w:t>
      </w:r>
      <w:r w:rsidRPr="007A388B">
        <w:rPr>
          <w:rFonts w:cs="Arial"/>
          <w:color w:val="000000"/>
          <w:szCs w:val="20"/>
        </w:rPr>
        <w:t xml:space="preserve">When setting employer contribution rates, employers have the option to use one of three affordability safe harbors to provide more predictability </w:t>
      </w:r>
      <w:r w:rsidR="00D878EE" w:rsidRPr="007A388B">
        <w:rPr>
          <w:rFonts w:cs="Arial"/>
          <w:color w:val="000000"/>
          <w:szCs w:val="20"/>
        </w:rPr>
        <w:t>when determining</w:t>
      </w:r>
      <w:r w:rsidRPr="007A388B">
        <w:rPr>
          <w:rFonts w:cs="Arial"/>
          <w:color w:val="000000"/>
          <w:szCs w:val="20"/>
        </w:rPr>
        <w:t xml:space="preserve"> whether the coverage will be considered affordable. </w:t>
      </w:r>
      <w:r w:rsidRPr="007A388B">
        <w:rPr>
          <w:rFonts w:cs="Arial"/>
        </w:rPr>
        <w:t xml:space="preserve">So long as minimum value coverage is affordable under one of the three recognized safe harbors, the employer will be considered in compliance for purposes of avoiding a potential penalty under </w:t>
      </w:r>
      <w:r w:rsidR="00D878EE" w:rsidRPr="007A388B">
        <w:rPr>
          <w:rFonts w:cs="Arial"/>
        </w:rPr>
        <w:t>§</w:t>
      </w:r>
      <w:r w:rsidRPr="007A388B">
        <w:rPr>
          <w:rFonts w:cs="Arial"/>
        </w:rPr>
        <w:t xml:space="preserve">4980H(b). </w:t>
      </w:r>
      <w:r w:rsidRPr="007A388B">
        <w:rPr>
          <w:rFonts w:cs="Arial"/>
          <w:color w:val="000000"/>
          <w:szCs w:val="20"/>
        </w:rPr>
        <w:t>Note that the use of the employer safe harbor does not change an individual’s possible eligibility for subsidies</w:t>
      </w:r>
      <w:r w:rsidR="009A29C5" w:rsidRPr="007A388B">
        <w:rPr>
          <w:rFonts w:cs="Arial"/>
          <w:color w:val="000000"/>
          <w:szCs w:val="20"/>
        </w:rPr>
        <w:t xml:space="preserve"> (which is tied to household income)</w:t>
      </w:r>
      <w:r w:rsidRPr="007A388B">
        <w:rPr>
          <w:rFonts w:cs="Arial"/>
          <w:color w:val="000000"/>
          <w:szCs w:val="20"/>
        </w:rPr>
        <w:t>.</w:t>
      </w:r>
      <w:r w:rsidRPr="007A388B">
        <w:rPr>
          <w:rFonts w:cs="Arial"/>
        </w:rPr>
        <w:t xml:space="preserve"> </w:t>
      </w:r>
    </w:p>
    <w:p w14:paraId="5B67B5EA" w14:textId="77777777" w:rsidR="003C1F48" w:rsidRPr="007A388B" w:rsidRDefault="003C1F48" w:rsidP="009F128D">
      <w:pPr>
        <w:ind w:left="0"/>
        <w:rPr>
          <w:rFonts w:cs="Arial"/>
        </w:rPr>
      </w:pPr>
    </w:p>
    <w:p w14:paraId="34BAB0A5" w14:textId="6DD65861" w:rsidR="00005010" w:rsidRPr="007A388B" w:rsidRDefault="009F128D" w:rsidP="009F128D">
      <w:pPr>
        <w:ind w:left="0"/>
        <w:rPr>
          <w:rFonts w:cs="Arial"/>
          <w:szCs w:val="20"/>
        </w:rPr>
      </w:pPr>
      <w:r w:rsidRPr="007A388B">
        <w:rPr>
          <w:rFonts w:cs="Arial"/>
        </w:rPr>
        <w:t xml:space="preserve">An employer may choose to apply any of the safe harbors for any reasonable category of employees, provided it does so on a uniform and consistent basis for all employees in a category. </w:t>
      </w:r>
      <w:r w:rsidR="00D506D7" w:rsidRPr="007A388B">
        <w:rPr>
          <w:rFonts w:cs="Arial"/>
        </w:rPr>
        <w:t>The regulations provide that reasonable categories</w:t>
      </w:r>
      <w:r w:rsidR="00FA766A">
        <w:rPr>
          <w:rFonts w:cs="Arial"/>
        </w:rPr>
        <w:t xml:space="preserve"> </w:t>
      </w:r>
      <w:r w:rsidR="00D506D7" w:rsidRPr="007A388B">
        <w:rPr>
          <w:rFonts w:cs="Arial"/>
        </w:rPr>
        <w:t>generally include specified job categories, nature of compensation (hourly or salary), geographic location, and similar bona fide business criteria.</w:t>
      </w:r>
      <w:r w:rsidR="00D506D7" w:rsidRPr="007A388B">
        <w:rPr>
          <w:rFonts w:cs="Arial"/>
          <w:szCs w:val="20"/>
        </w:rPr>
        <w:t xml:space="preserve"> </w:t>
      </w:r>
      <w:r w:rsidR="00D506D7" w:rsidRPr="007A388B">
        <w:rPr>
          <w:rFonts w:cs="Arial"/>
        </w:rPr>
        <w:t xml:space="preserve">In addition, an employer may use different affordability safe harbors for each reporting year; the only rule is that if the Form W-2 safe harbor is used, it must be used for all 12 months of a particular calendar year because it considers </w:t>
      </w:r>
      <w:r w:rsidR="00D506D7" w:rsidRPr="007A388B">
        <w:rPr>
          <w:rFonts w:cs="Arial"/>
        </w:rPr>
        <w:lastRenderedPageBreak/>
        <w:t xml:space="preserve">Box 1 wages for the same calendar year. </w:t>
      </w:r>
      <w:r w:rsidR="007B799A" w:rsidRPr="007A388B">
        <w:rPr>
          <w:rFonts w:cs="Arial"/>
        </w:rPr>
        <w:t>The employer is not required to choose the safe harbor until the employer is preparing the reporting (i.e.</w:t>
      </w:r>
      <w:r w:rsidR="00321DB3">
        <w:rPr>
          <w:rFonts w:cs="Arial"/>
        </w:rPr>
        <w:t>,</w:t>
      </w:r>
      <w:r w:rsidR="007B799A" w:rsidRPr="007A388B">
        <w:rPr>
          <w:rFonts w:cs="Arial"/>
        </w:rPr>
        <w:t xml:space="preserve"> Form 1094-C and Form 1095-Cs), but many </w:t>
      </w:r>
      <w:r w:rsidR="004C4825">
        <w:rPr>
          <w:rFonts w:cs="Arial"/>
        </w:rPr>
        <w:t>employers</w:t>
      </w:r>
      <w:r w:rsidR="007B799A" w:rsidRPr="007A388B">
        <w:rPr>
          <w:rFonts w:cs="Arial"/>
        </w:rPr>
        <w:t xml:space="preserve"> use the safe harbors to set employer contributions for the year. </w:t>
      </w:r>
      <w:r w:rsidRPr="007A388B">
        <w:rPr>
          <w:rFonts w:cs="Arial"/>
          <w:szCs w:val="20"/>
        </w:rPr>
        <w:t>Each safe harbor is described below</w:t>
      </w:r>
      <w:r w:rsidR="00DD0B06" w:rsidRPr="007A388B">
        <w:rPr>
          <w:rFonts w:cs="Arial"/>
          <w:szCs w:val="20"/>
        </w:rPr>
        <w:t>, using the applicable 202</w:t>
      </w:r>
      <w:r w:rsidR="004C4825">
        <w:rPr>
          <w:rFonts w:cs="Arial"/>
          <w:szCs w:val="20"/>
        </w:rPr>
        <w:t>2</w:t>
      </w:r>
      <w:r w:rsidR="00DD0B06" w:rsidRPr="007A388B">
        <w:rPr>
          <w:rFonts w:cs="Arial"/>
          <w:szCs w:val="20"/>
        </w:rPr>
        <w:t xml:space="preserve"> affordability percentage</w:t>
      </w:r>
      <w:r w:rsidRPr="007A388B">
        <w:rPr>
          <w:rFonts w:cs="Arial"/>
          <w:szCs w:val="20"/>
        </w:rPr>
        <w:t>:</w:t>
      </w:r>
    </w:p>
    <w:p w14:paraId="79176D39" w14:textId="77777777" w:rsidR="00D506D7" w:rsidRPr="007A388B" w:rsidRDefault="00D506D7" w:rsidP="009F128D">
      <w:pPr>
        <w:ind w:left="0"/>
        <w:rPr>
          <w:rFonts w:cs="Arial"/>
          <w:szCs w:val="20"/>
          <w:lang w:bidi="ar-SA"/>
        </w:rPr>
      </w:pPr>
    </w:p>
    <w:p w14:paraId="12C62842" w14:textId="77777777" w:rsidR="00D223E5" w:rsidRPr="007A388B" w:rsidRDefault="00D223E5" w:rsidP="00D223E5">
      <w:pPr>
        <w:pStyle w:val="PlainText"/>
        <w:numPr>
          <w:ilvl w:val="0"/>
          <w:numId w:val="2"/>
        </w:numPr>
        <w:ind w:left="720"/>
        <w:rPr>
          <w:rFonts w:ascii="Arial" w:hAnsi="Arial" w:cs="Arial"/>
          <w:sz w:val="20"/>
          <w:szCs w:val="20"/>
        </w:rPr>
      </w:pPr>
      <w:r w:rsidRPr="007A388B">
        <w:rPr>
          <w:rFonts w:ascii="Arial" w:hAnsi="Arial" w:cs="Arial"/>
          <w:bCs/>
          <w:sz w:val="20"/>
          <w:szCs w:val="20"/>
          <w:u w:val="single"/>
        </w:rPr>
        <w:t>Federal Poverty Line</w:t>
      </w:r>
      <w:r w:rsidR="000C3FA8" w:rsidRPr="007A388B">
        <w:rPr>
          <w:rFonts w:ascii="Arial" w:hAnsi="Arial" w:cs="Arial"/>
          <w:bCs/>
          <w:sz w:val="20"/>
          <w:szCs w:val="20"/>
          <w:u w:val="single"/>
        </w:rPr>
        <w:t xml:space="preserve"> (FPL)</w:t>
      </w:r>
      <w:r w:rsidRPr="007A388B">
        <w:rPr>
          <w:rFonts w:ascii="Arial" w:hAnsi="Arial" w:cs="Arial"/>
          <w:bCs/>
          <w:sz w:val="20"/>
          <w:szCs w:val="20"/>
          <w:u w:val="single"/>
        </w:rPr>
        <w:t xml:space="preserve"> Safe Harbor</w:t>
      </w:r>
      <w:r w:rsidRPr="007A388B">
        <w:rPr>
          <w:rFonts w:ascii="Arial" w:hAnsi="Arial" w:cs="Arial"/>
          <w:sz w:val="20"/>
          <w:szCs w:val="20"/>
        </w:rPr>
        <w:t xml:space="preserve"> – </w:t>
      </w:r>
    </w:p>
    <w:p w14:paraId="57032BE4" w14:textId="62796A47" w:rsidR="00D223E5" w:rsidRPr="007A388B" w:rsidRDefault="00D223E5" w:rsidP="00D223E5">
      <w:pPr>
        <w:pStyle w:val="ColorfulList-Accent11"/>
        <w:numPr>
          <w:ilvl w:val="0"/>
          <w:numId w:val="4"/>
        </w:numPr>
        <w:rPr>
          <w:rFonts w:ascii="Arial" w:hAnsi="Arial" w:cs="Arial"/>
          <w:sz w:val="20"/>
          <w:szCs w:val="20"/>
        </w:rPr>
      </w:pPr>
      <w:r w:rsidRPr="007A388B">
        <w:rPr>
          <w:rFonts w:ascii="Arial" w:hAnsi="Arial" w:cs="Arial"/>
          <w:sz w:val="20"/>
          <w:szCs w:val="20"/>
        </w:rPr>
        <w:t xml:space="preserve">Coverage offered to an employee is affordable if the employee’s cost for </w:t>
      </w:r>
      <w:r w:rsidR="007B799A" w:rsidRPr="007A388B">
        <w:rPr>
          <w:rFonts w:ascii="Arial" w:hAnsi="Arial" w:cs="Arial"/>
          <w:sz w:val="20"/>
          <w:szCs w:val="20"/>
        </w:rPr>
        <w:t>single</w:t>
      </w:r>
      <w:r w:rsidRPr="007A388B">
        <w:rPr>
          <w:rFonts w:ascii="Arial" w:hAnsi="Arial" w:cs="Arial"/>
          <w:sz w:val="20"/>
          <w:szCs w:val="20"/>
        </w:rPr>
        <w:t xml:space="preserve"> coverage does not exceed 9.</w:t>
      </w:r>
      <w:r w:rsidR="00321DB3">
        <w:rPr>
          <w:rFonts w:ascii="Arial" w:hAnsi="Arial" w:cs="Arial"/>
          <w:sz w:val="20"/>
          <w:szCs w:val="20"/>
        </w:rPr>
        <w:t>61</w:t>
      </w:r>
      <w:r w:rsidRPr="007A388B">
        <w:rPr>
          <w:rFonts w:ascii="Arial" w:hAnsi="Arial" w:cs="Arial"/>
          <w:sz w:val="20"/>
          <w:szCs w:val="20"/>
        </w:rPr>
        <w:t>%</w:t>
      </w:r>
      <w:r w:rsidR="00EC7F7C">
        <w:rPr>
          <w:rFonts w:ascii="Arial" w:hAnsi="Arial" w:cs="Arial"/>
          <w:sz w:val="20"/>
          <w:szCs w:val="20"/>
        </w:rPr>
        <w:t xml:space="preserve"> (in 202</w:t>
      </w:r>
      <w:r w:rsidR="00321DB3">
        <w:rPr>
          <w:rFonts w:ascii="Arial" w:hAnsi="Arial" w:cs="Arial"/>
          <w:sz w:val="20"/>
          <w:szCs w:val="20"/>
        </w:rPr>
        <w:t>2</w:t>
      </w:r>
      <w:r w:rsidR="00EC7F7C">
        <w:rPr>
          <w:rFonts w:ascii="Arial" w:hAnsi="Arial" w:cs="Arial"/>
          <w:sz w:val="20"/>
          <w:szCs w:val="20"/>
        </w:rPr>
        <w:t>)</w:t>
      </w:r>
      <w:r w:rsidRPr="007A388B">
        <w:rPr>
          <w:rFonts w:ascii="Arial" w:hAnsi="Arial" w:cs="Arial"/>
          <w:sz w:val="20"/>
          <w:szCs w:val="20"/>
        </w:rPr>
        <w:t xml:space="preserve"> of the </w:t>
      </w:r>
      <w:r w:rsidR="000C3FA8" w:rsidRPr="007A388B">
        <w:rPr>
          <w:rFonts w:ascii="Arial" w:hAnsi="Arial" w:cs="Arial"/>
          <w:sz w:val="20"/>
          <w:szCs w:val="20"/>
        </w:rPr>
        <w:t>FPL</w:t>
      </w:r>
      <w:r w:rsidRPr="007A388B">
        <w:rPr>
          <w:rFonts w:ascii="Arial" w:hAnsi="Arial" w:cs="Arial"/>
          <w:sz w:val="20"/>
          <w:szCs w:val="20"/>
        </w:rPr>
        <w:t xml:space="preserve"> for a single individual (i.e.</w:t>
      </w:r>
      <w:r w:rsidR="00321DB3">
        <w:rPr>
          <w:rFonts w:ascii="Arial" w:hAnsi="Arial" w:cs="Arial"/>
          <w:sz w:val="20"/>
          <w:szCs w:val="20"/>
        </w:rPr>
        <w:t>,</w:t>
      </w:r>
      <w:r w:rsidRPr="007A388B">
        <w:rPr>
          <w:rFonts w:ascii="Arial" w:hAnsi="Arial" w:cs="Arial"/>
          <w:sz w:val="20"/>
          <w:szCs w:val="20"/>
        </w:rPr>
        <w:t xml:space="preserve"> $</w:t>
      </w:r>
      <w:r w:rsidR="00951D05">
        <w:rPr>
          <w:rFonts w:ascii="Arial" w:hAnsi="Arial" w:cs="Arial"/>
          <w:sz w:val="20"/>
          <w:szCs w:val="20"/>
        </w:rPr>
        <w:t>103.15</w:t>
      </w:r>
      <w:r w:rsidRPr="007A388B">
        <w:rPr>
          <w:rFonts w:ascii="Arial" w:hAnsi="Arial" w:cs="Arial"/>
          <w:sz w:val="20"/>
          <w:szCs w:val="20"/>
        </w:rPr>
        <w:t>/month for calendar year plan years in 202</w:t>
      </w:r>
      <w:r w:rsidR="00CE5435">
        <w:rPr>
          <w:rFonts w:ascii="Arial" w:hAnsi="Arial" w:cs="Arial"/>
          <w:sz w:val="20"/>
          <w:szCs w:val="20"/>
        </w:rPr>
        <w:t>2</w:t>
      </w:r>
      <w:r w:rsidRPr="007A388B">
        <w:rPr>
          <w:rFonts w:ascii="Arial" w:hAnsi="Arial" w:cs="Arial"/>
          <w:sz w:val="20"/>
          <w:szCs w:val="20"/>
        </w:rPr>
        <w:t>). </w:t>
      </w:r>
    </w:p>
    <w:p w14:paraId="2FB7A158" w14:textId="77777777" w:rsidR="00D223E5" w:rsidRPr="007A388B" w:rsidRDefault="00D223E5" w:rsidP="00D223E5">
      <w:pPr>
        <w:pStyle w:val="ColorfulList-Accent11"/>
        <w:numPr>
          <w:ilvl w:val="0"/>
          <w:numId w:val="4"/>
        </w:numPr>
        <w:rPr>
          <w:rFonts w:ascii="Arial" w:hAnsi="Arial" w:cs="Arial"/>
          <w:sz w:val="20"/>
          <w:szCs w:val="20"/>
        </w:rPr>
      </w:pPr>
      <w:r w:rsidRPr="007A388B">
        <w:rPr>
          <w:rFonts w:ascii="Arial" w:hAnsi="Arial" w:cs="Arial"/>
          <w:sz w:val="20"/>
          <w:szCs w:val="20"/>
        </w:rPr>
        <w:t xml:space="preserve">“Federal Poverty Line” refers to any of the poverty guidelines (updated periodically in the Federal Register by the Secretary of Health and Human Services) in effect within six months before the first day of the plan year of the applicable large employer member’s health plan. The FPL is typically updated in late January, and therefore a calendar year plan will rely upon the FPL of the previous year, while plans beginning in February or later can rely upon the current year’s FPL. </w:t>
      </w:r>
    </w:p>
    <w:p w14:paraId="32B58CCE" w14:textId="3A302DC7" w:rsidR="007A6D31" w:rsidRPr="007A388B" w:rsidRDefault="00D223E5" w:rsidP="00005010">
      <w:pPr>
        <w:pStyle w:val="ColorfulList-Accent11"/>
        <w:numPr>
          <w:ilvl w:val="0"/>
          <w:numId w:val="4"/>
        </w:numPr>
        <w:rPr>
          <w:rFonts w:ascii="Arial" w:hAnsi="Arial" w:cs="Arial"/>
          <w:sz w:val="20"/>
          <w:szCs w:val="20"/>
        </w:rPr>
      </w:pPr>
      <w:r w:rsidRPr="007A388B">
        <w:rPr>
          <w:rFonts w:ascii="Arial" w:hAnsi="Arial" w:cs="Arial"/>
          <w:sz w:val="20"/>
          <w:szCs w:val="20"/>
        </w:rPr>
        <w:t>When determining which affordability safe harbor to use, employers should first consider the FPL safe harbor because it is the simplest and guarantees affordability for all employees. If the monthly employee contribution for single coverage does not meet the FPL safe harbor</w:t>
      </w:r>
      <w:r w:rsidR="00D506D7" w:rsidRPr="007A388B">
        <w:rPr>
          <w:rFonts w:ascii="Arial" w:hAnsi="Arial" w:cs="Arial"/>
          <w:sz w:val="20"/>
          <w:szCs w:val="20"/>
        </w:rPr>
        <w:t>, then the employer should consider the rate of pay or Form W-2 safe harbor.</w:t>
      </w:r>
    </w:p>
    <w:p w14:paraId="79E77A86" w14:textId="77777777" w:rsidR="00D506D7" w:rsidRPr="007A388B" w:rsidRDefault="00D506D7" w:rsidP="00D506D7">
      <w:pPr>
        <w:pStyle w:val="ColorfulList-Accent11"/>
        <w:ind w:left="1080"/>
        <w:rPr>
          <w:rFonts w:ascii="Arial" w:hAnsi="Arial" w:cs="Arial"/>
          <w:sz w:val="20"/>
          <w:szCs w:val="20"/>
          <w:u w:val="single"/>
        </w:rPr>
      </w:pPr>
    </w:p>
    <w:p w14:paraId="40544FA8" w14:textId="77777777" w:rsidR="00D223E5" w:rsidRPr="007A388B" w:rsidRDefault="00D223E5" w:rsidP="000857D5">
      <w:pPr>
        <w:pStyle w:val="Bullet1"/>
      </w:pPr>
      <w:r w:rsidRPr="007A388B">
        <w:rPr>
          <w:u w:val="single"/>
        </w:rPr>
        <w:t>Rate of Pay Safe Harbor</w:t>
      </w:r>
      <w:r w:rsidRPr="007A388B">
        <w:t xml:space="preserve"> –</w:t>
      </w:r>
    </w:p>
    <w:p w14:paraId="4618B314" w14:textId="77777777" w:rsidR="007B0353" w:rsidRDefault="009F128D" w:rsidP="00B1435D">
      <w:pPr>
        <w:pStyle w:val="ColorfulList-Accent11"/>
        <w:numPr>
          <w:ilvl w:val="0"/>
          <w:numId w:val="3"/>
        </w:numPr>
        <w:rPr>
          <w:rFonts w:ascii="Arial" w:hAnsi="Arial" w:cs="Arial"/>
          <w:sz w:val="20"/>
          <w:szCs w:val="20"/>
        </w:rPr>
      </w:pPr>
      <w:r w:rsidRPr="007A388B">
        <w:rPr>
          <w:rFonts w:ascii="Arial" w:hAnsi="Arial" w:cs="Arial"/>
          <w:sz w:val="20"/>
          <w:szCs w:val="20"/>
        </w:rPr>
        <w:t xml:space="preserve">For an hourly employee, </w:t>
      </w:r>
      <w:r w:rsidR="006B5292" w:rsidRPr="007A388B">
        <w:rPr>
          <w:rFonts w:ascii="Arial" w:hAnsi="Arial" w:cs="Arial"/>
          <w:sz w:val="20"/>
          <w:szCs w:val="20"/>
        </w:rPr>
        <w:t>the employee’s monthly contribution</w:t>
      </w:r>
      <w:r w:rsidR="007B799A" w:rsidRPr="007A388B">
        <w:rPr>
          <w:rFonts w:ascii="Arial" w:hAnsi="Arial" w:cs="Arial"/>
          <w:sz w:val="20"/>
          <w:szCs w:val="20"/>
        </w:rPr>
        <w:t xml:space="preserve"> for single coverage</w:t>
      </w:r>
      <w:r w:rsidR="006B5292" w:rsidRPr="007A388B">
        <w:rPr>
          <w:rFonts w:ascii="Arial" w:hAnsi="Arial" w:cs="Arial"/>
          <w:sz w:val="20"/>
          <w:szCs w:val="20"/>
        </w:rPr>
        <w:t xml:space="preserve"> is affordable if it </w:t>
      </w:r>
      <w:r w:rsidR="00D12B95">
        <w:rPr>
          <w:rFonts w:ascii="Arial" w:hAnsi="Arial" w:cs="Arial"/>
          <w:sz w:val="20"/>
          <w:szCs w:val="20"/>
        </w:rPr>
        <w:t xml:space="preserve">does not exceed </w:t>
      </w:r>
      <w:r w:rsidR="006B5292" w:rsidRPr="007A388B">
        <w:rPr>
          <w:rFonts w:ascii="Arial" w:hAnsi="Arial" w:cs="Arial"/>
          <w:sz w:val="20"/>
          <w:szCs w:val="20"/>
        </w:rPr>
        <w:t>9.</w:t>
      </w:r>
      <w:r w:rsidR="00B13DDE">
        <w:rPr>
          <w:rFonts w:ascii="Arial" w:hAnsi="Arial" w:cs="Arial"/>
          <w:sz w:val="20"/>
          <w:szCs w:val="20"/>
        </w:rPr>
        <w:t>61</w:t>
      </w:r>
      <w:r w:rsidR="006B5292" w:rsidRPr="007A388B">
        <w:rPr>
          <w:rFonts w:ascii="Arial" w:hAnsi="Arial" w:cs="Arial"/>
          <w:sz w:val="20"/>
          <w:szCs w:val="20"/>
        </w:rPr>
        <w:t>%</w:t>
      </w:r>
      <w:r w:rsidR="00EC7F7C">
        <w:rPr>
          <w:rFonts w:ascii="Arial" w:hAnsi="Arial" w:cs="Arial"/>
          <w:sz w:val="20"/>
          <w:szCs w:val="20"/>
        </w:rPr>
        <w:t xml:space="preserve"> (in 202</w:t>
      </w:r>
      <w:r w:rsidR="00B13DDE">
        <w:rPr>
          <w:rFonts w:ascii="Arial" w:hAnsi="Arial" w:cs="Arial"/>
          <w:sz w:val="20"/>
          <w:szCs w:val="20"/>
        </w:rPr>
        <w:t>2</w:t>
      </w:r>
      <w:r w:rsidR="00EC7F7C">
        <w:rPr>
          <w:rFonts w:ascii="Arial" w:hAnsi="Arial" w:cs="Arial"/>
          <w:sz w:val="20"/>
          <w:szCs w:val="20"/>
        </w:rPr>
        <w:t>)</w:t>
      </w:r>
      <w:r w:rsidR="006B5292" w:rsidRPr="007A388B">
        <w:rPr>
          <w:rFonts w:ascii="Arial" w:hAnsi="Arial" w:cs="Arial"/>
          <w:sz w:val="20"/>
          <w:szCs w:val="20"/>
        </w:rPr>
        <w:t xml:space="preserve"> of the employee’s hourly rate multiplied by 130. </w:t>
      </w:r>
    </w:p>
    <w:p w14:paraId="1A6F362F" w14:textId="77777777" w:rsidR="007B0353" w:rsidRDefault="006B5292" w:rsidP="0018764F">
      <w:pPr>
        <w:pStyle w:val="ColorfulList-Accent11"/>
        <w:numPr>
          <w:ilvl w:val="1"/>
          <w:numId w:val="3"/>
        </w:numPr>
        <w:rPr>
          <w:rFonts w:ascii="Arial" w:hAnsi="Arial" w:cs="Arial"/>
          <w:sz w:val="20"/>
          <w:szCs w:val="20"/>
        </w:rPr>
      </w:pPr>
      <w:r w:rsidRPr="007A388B">
        <w:rPr>
          <w:rFonts w:ascii="Arial" w:hAnsi="Arial" w:cs="Arial"/>
          <w:sz w:val="20"/>
          <w:szCs w:val="20"/>
        </w:rPr>
        <w:t>The calculation uses the</w:t>
      </w:r>
      <w:r w:rsidR="009F128D" w:rsidRPr="007A388B">
        <w:rPr>
          <w:rFonts w:ascii="Arial" w:hAnsi="Arial" w:cs="Arial"/>
          <w:sz w:val="20"/>
          <w:szCs w:val="20"/>
        </w:rPr>
        <w:t xml:space="preserve"> employee’s rate of pay</w:t>
      </w:r>
      <w:r w:rsidR="00D878EE" w:rsidRPr="007A388B">
        <w:rPr>
          <w:rFonts w:ascii="Arial" w:hAnsi="Arial" w:cs="Arial"/>
          <w:sz w:val="20"/>
          <w:szCs w:val="20"/>
        </w:rPr>
        <w:t xml:space="preserve"> as of the first day of the coverage period</w:t>
      </w:r>
      <w:r w:rsidR="009F128D" w:rsidRPr="007A388B">
        <w:rPr>
          <w:rFonts w:ascii="Arial" w:hAnsi="Arial" w:cs="Arial"/>
          <w:sz w:val="20"/>
          <w:szCs w:val="20"/>
        </w:rPr>
        <w:t xml:space="preserve">, </w:t>
      </w:r>
      <w:r w:rsidR="00D878EE" w:rsidRPr="007A388B">
        <w:rPr>
          <w:rFonts w:ascii="Arial" w:hAnsi="Arial" w:cs="Arial"/>
          <w:sz w:val="20"/>
          <w:szCs w:val="20"/>
        </w:rPr>
        <w:t xml:space="preserve">unless the rate of pay is reduced, in which case the lower amount is used. </w:t>
      </w:r>
    </w:p>
    <w:p w14:paraId="7D80A5F0" w14:textId="3C9AD1CB" w:rsidR="009F128D" w:rsidRPr="007A388B" w:rsidRDefault="00D878EE" w:rsidP="0018764F">
      <w:pPr>
        <w:pStyle w:val="ColorfulList-Accent11"/>
        <w:numPr>
          <w:ilvl w:val="1"/>
          <w:numId w:val="3"/>
        </w:numPr>
        <w:rPr>
          <w:rFonts w:ascii="Arial" w:hAnsi="Arial" w:cs="Arial"/>
          <w:sz w:val="20"/>
          <w:szCs w:val="20"/>
        </w:rPr>
      </w:pPr>
      <w:r w:rsidRPr="007A388B">
        <w:rPr>
          <w:rFonts w:ascii="Arial" w:hAnsi="Arial" w:cs="Arial"/>
          <w:sz w:val="20"/>
          <w:szCs w:val="20"/>
        </w:rPr>
        <w:t xml:space="preserve">130 (to match the definition of full-time) is used in the calculation </w:t>
      </w:r>
      <w:r w:rsidR="006B5292" w:rsidRPr="007A388B">
        <w:rPr>
          <w:rFonts w:ascii="Arial" w:hAnsi="Arial" w:cs="Arial"/>
          <w:sz w:val="20"/>
          <w:szCs w:val="20"/>
        </w:rPr>
        <w:t>even if</w:t>
      </w:r>
      <w:r w:rsidR="009F128D" w:rsidRPr="007A388B">
        <w:rPr>
          <w:rFonts w:ascii="Arial" w:hAnsi="Arial" w:cs="Arial"/>
          <w:sz w:val="20"/>
          <w:szCs w:val="20"/>
        </w:rPr>
        <w:t xml:space="preserve"> the employee works more or less than 130 hours during a calendar month. Therefore, this safe harbor protects the employer even in situations in which the employee’s hours may be less than full-time and the employer remains obligated to continue offering coverage during the stability period.</w:t>
      </w:r>
      <w:r w:rsidRPr="007A388B">
        <w:rPr>
          <w:rFonts w:ascii="Arial" w:hAnsi="Arial" w:cs="Arial"/>
          <w:sz w:val="20"/>
          <w:szCs w:val="20"/>
        </w:rPr>
        <w:t xml:space="preserve"> However, it might also require a </w:t>
      </w:r>
      <w:r w:rsidR="006B5292" w:rsidRPr="007A388B">
        <w:rPr>
          <w:rFonts w:ascii="Arial" w:hAnsi="Arial" w:cs="Arial"/>
          <w:sz w:val="20"/>
          <w:szCs w:val="20"/>
        </w:rPr>
        <w:t>lower monthly employee</w:t>
      </w:r>
      <w:r w:rsidRPr="007A388B">
        <w:rPr>
          <w:rFonts w:ascii="Arial" w:hAnsi="Arial" w:cs="Arial"/>
          <w:sz w:val="20"/>
          <w:szCs w:val="20"/>
        </w:rPr>
        <w:t xml:space="preserve"> contribution </w:t>
      </w:r>
      <w:r w:rsidR="006B5292" w:rsidRPr="007A388B">
        <w:rPr>
          <w:rFonts w:ascii="Arial" w:hAnsi="Arial" w:cs="Arial"/>
          <w:sz w:val="20"/>
          <w:szCs w:val="20"/>
        </w:rPr>
        <w:t>than required under the Form W-2 safe harbor</w:t>
      </w:r>
      <w:r w:rsidRPr="007A388B">
        <w:rPr>
          <w:rFonts w:ascii="Arial" w:hAnsi="Arial" w:cs="Arial"/>
          <w:sz w:val="20"/>
          <w:szCs w:val="20"/>
        </w:rPr>
        <w:t xml:space="preserve"> for employees who regularly work 40 or more hours per week.</w:t>
      </w:r>
    </w:p>
    <w:p w14:paraId="4B6AD415" w14:textId="0AD09248" w:rsidR="009F128D" w:rsidRPr="007A388B" w:rsidRDefault="009F128D" w:rsidP="00B1435D">
      <w:pPr>
        <w:pStyle w:val="ColorfulList-Accent11"/>
        <w:numPr>
          <w:ilvl w:val="0"/>
          <w:numId w:val="3"/>
        </w:numPr>
        <w:rPr>
          <w:rFonts w:ascii="Arial" w:hAnsi="Arial" w:cs="Arial"/>
          <w:sz w:val="20"/>
          <w:szCs w:val="20"/>
        </w:rPr>
      </w:pPr>
      <w:r w:rsidRPr="007A388B">
        <w:rPr>
          <w:rFonts w:ascii="Arial" w:hAnsi="Arial" w:cs="Arial"/>
          <w:sz w:val="20"/>
          <w:szCs w:val="20"/>
        </w:rPr>
        <w:t>For a non-hourly employee, the coverage is treated as affordable if the employee’s required contribution</w:t>
      </w:r>
      <w:r w:rsidR="007B799A" w:rsidRPr="007A388B">
        <w:rPr>
          <w:rFonts w:ascii="Arial" w:hAnsi="Arial" w:cs="Arial"/>
          <w:sz w:val="20"/>
          <w:szCs w:val="20"/>
        </w:rPr>
        <w:t xml:space="preserve"> for single coverage</w:t>
      </w:r>
      <w:r w:rsidRPr="007A388B">
        <w:rPr>
          <w:rFonts w:ascii="Arial" w:hAnsi="Arial" w:cs="Arial"/>
          <w:sz w:val="20"/>
          <w:szCs w:val="20"/>
        </w:rPr>
        <w:t xml:space="preserve"> does not exceed 9.</w:t>
      </w:r>
      <w:r w:rsidR="008E6929">
        <w:rPr>
          <w:rFonts w:ascii="Arial" w:hAnsi="Arial" w:cs="Arial"/>
          <w:sz w:val="20"/>
          <w:szCs w:val="20"/>
        </w:rPr>
        <w:t>61</w:t>
      </w:r>
      <w:r w:rsidRPr="007A388B">
        <w:rPr>
          <w:rFonts w:ascii="Arial" w:hAnsi="Arial" w:cs="Arial"/>
          <w:sz w:val="20"/>
          <w:szCs w:val="20"/>
        </w:rPr>
        <w:t>%</w:t>
      </w:r>
      <w:r w:rsidR="00EC7F7C">
        <w:rPr>
          <w:rFonts w:ascii="Arial" w:hAnsi="Arial" w:cs="Arial"/>
          <w:sz w:val="20"/>
          <w:szCs w:val="20"/>
        </w:rPr>
        <w:t xml:space="preserve"> (in 202</w:t>
      </w:r>
      <w:r w:rsidR="008E6929">
        <w:rPr>
          <w:rFonts w:ascii="Arial" w:hAnsi="Arial" w:cs="Arial"/>
          <w:sz w:val="20"/>
          <w:szCs w:val="20"/>
        </w:rPr>
        <w:t>2</w:t>
      </w:r>
      <w:r w:rsidR="00EC7F7C">
        <w:rPr>
          <w:rFonts w:ascii="Arial" w:hAnsi="Arial" w:cs="Arial"/>
          <w:sz w:val="20"/>
          <w:szCs w:val="20"/>
        </w:rPr>
        <w:t>)</w:t>
      </w:r>
      <w:r w:rsidRPr="007A388B">
        <w:rPr>
          <w:rFonts w:ascii="Arial" w:hAnsi="Arial" w:cs="Arial"/>
          <w:sz w:val="20"/>
          <w:szCs w:val="20"/>
        </w:rPr>
        <w:t xml:space="preserve"> of the employee’s monthly salary as of the first day of the coverage period (instead of 130 multiplied by the hourly rate of pay)—provided that if the monthly salary is reduced, including due to a reduction in work hours, th</w:t>
      </w:r>
      <w:r w:rsidR="006B5292" w:rsidRPr="007A388B">
        <w:rPr>
          <w:rFonts w:ascii="Arial" w:hAnsi="Arial" w:cs="Arial"/>
          <w:sz w:val="20"/>
          <w:szCs w:val="20"/>
        </w:rPr>
        <w:t>is</w:t>
      </w:r>
      <w:r w:rsidRPr="007A388B">
        <w:rPr>
          <w:rFonts w:ascii="Arial" w:hAnsi="Arial" w:cs="Arial"/>
          <w:sz w:val="20"/>
          <w:szCs w:val="20"/>
        </w:rPr>
        <w:t xml:space="preserve"> safe harbor is not available.</w:t>
      </w:r>
    </w:p>
    <w:p w14:paraId="5C57190C" w14:textId="265B2210" w:rsidR="009F128D" w:rsidRPr="007A388B" w:rsidRDefault="009F128D" w:rsidP="00B1435D">
      <w:pPr>
        <w:pStyle w:val="ColorfulList-Accent11"/>
        <w:numPr>
          <w:ilvl w:val="0"/>
          <w:numId w:val="3"/>
        </w:numPr>
        <w:rPr>
          <w:rFonts w:ascii="Arial" w:hAnsi="Arial" w:cs="Arial"/>
          <w:color w:val="1F4E79"/>
        </w:rPr>
      </w:pPr>
      <w:r w:rsidRPr="007A388B">
        <w:rPr>
          <w:rFonts w:ascii="Arial" w:hAnsi="Arial" w:cs="Arial"/>
          <w:sz w:val="20"/>
          <w:szCs w:val="20"/>
        </w:rPr>
        <w:t xml:space="preserve">NOTE – </w:t>
      </w:r>
      <w:r w:rsidR="00962F68">
        <w:rPr>
          <w:rFonts w:ascii="Arial" w:hAnsi="Arial" w:cs="Arial"/>
          <w:sz w:val="20"/>
          <w:szCs w:val="20"/>
        </w:rPr>
        <w:t>T</w:t>
      </w:r>
      <w:r w:rsidRPr="007A388B">
        <w:rPr>
          <w:rFonts w:ascii="Arial" w:hAnsi="Arial" w:cs="Arial"/>
          <w:sz w:val="20"/>
          <w:szCs w:val="20"/>
        </w:rPr>
        <w:t xml:space="preserve">his safe harbor cannot be used for tipped employees or for employees who are compensated solely </w:t>
      </w:r>
      <w:r w:rsidR="0021233F" w:rsidRPr="007A388B">
        <w:rPr>
          <w:rFonts w:ascii="Arial" w:hAnsi="Arial" w:cs="Arial"/>
          <w:sz w:val="20"/>
          <w:szCs w:val="20"/>
        </w:rPr>
        <w:t>based on</w:t>
      </w:r>
      <w:r w:rsidRPr="007A388B">
        <w:rPr>
          <w:rFonts w:ascii="Arial" w:hAnsi="Arial" w:cs="Arial"/>
          <w:sz w:val="20"/>
          <w:szCs w:val="20"/>
        </w:rPr>
        <w:t xml:space="preserve"> commissions.</w:t>
      </w:r>
    </w:p>
    <w:p w14:paraId="1468BF06" w14:textId="77777777" w:rsidR="00CF51FD" w:rsidRPr="007A388B" w:rsidRDefault="00CF51FD" w:rsidP="00CF51FD">
      <w:pPr>
        <w:pStyle w:val="ColorfulList-Accent11"/>
        <w:ind w:left="1080"/>
        <w:rPr>
          <w:rFonts w:ascii="Arial" w:hAnsi="Arial" w:cs="Arial"/>
          <w:i/>
          <w:sz w:val="20"/>
          <w:szCs w:val="20"/>
        </w:rPr>
      </w:pPr>
    </w:p>
    <w:p w14:paraId="1174FE9B" w14:textId="176E941D" w:rsidR="009F128D" w:rsidRPr="007A388B" w:rsidRDefault="009F128D" w:rsidP="00CF51FD">
      <w:pPr>
        <w:pStyle w:val="ColorfulList-Accent11"/>
        <w:ind w:left="1080"/>
        <w:rPr>
          <w:rFonts w:ascii="Arial" w:hAnsi="Arial" w:cs="Arial"/>
          <w:i/>
          <w:color w:val="1F4E79"/>
        </w:rPr>
      </w:pPr>
      <w:r w:rsidRPr="007A388B">
        <w:rPr>
          <w:rFonts w:ascii="Arial" w:hAnsi="Arial" w:cs="Arial"/>
          <w:i/>
          <w:sz w:val="20"/>
          <w:szCs w:val="20"/>
        </w:rPr>
        <w:t>EXAMPLE – Employer has full-time</w:t>
      </w:r>
      <w:r w:rsidR="00D878EE" w:rsidRPr="007A388B">
        <w:rPr>
          <w:rFonts w:ascii="Arial" w:hAnsi="Arial" w:cs="Arial"/>
          <w:i/>
          <w:sz w:val="20"/>
          <w:szCs w:val="20"/>
        </w:rPr>
        <w:t xml:space="preserve"> hourly</w:t>
      </w:r>
      <w:r w:rsidRPr="007A388B">
        <w:rPr>
          <w:rFonts w:ascii="Arial" w:hAnsi="Arial" w:cs="Arial"/>
          <w:i/>
          <w:sz w:val="20"/>
          <w:szCs w:val="20"/>
        </w:rPr>
        <w:t xml:space="preserve"> employees paid $</w:t>
      </w:r>
      <w:r w:rsidR="00962F68">
        <w:rPr>
          <w:rFonts w:ascii="Arial" w:hAnsi="Arial" w:cs="Arial"/>
          <w:i/>
          <w:sz w:val="20"/>
          <w:szCs w:val="20"/>
        </w:rPr>
        <w:t>10</w:t>
      </w:r>
      <w:r w:rsidRPr="007A388B">
        <w:rPr>
          <w:rFonts w:ascii="Arial" w:hAnsi="Arial" w:cs="Arial"/>
          <w:i/>
          <w:sz w:val="20"/>
          <w:szCs w:val="20"/>
        </w:rPr>
        <w:t>/hour and up. So long as employee contributions for the lowest cost minimum value plan do not exceed $</w:t>
      </w:r>
      <w:r w:rsidR="008102A3">
        <w:rPr>
          <w:rFonts w:ascii="Arial" w:hAnsi="Arial" w:cs="Arial"/>
          <w:i/>
          <w:sz w:val="20"/>
          <w:szCs w:val="20"/>
        </w:rPr>
        <w:t>124.93</w:t>
      </w:r>
      <w:r w:rsidR="00CA6013">
        <w:rPr>
          <w:rFonts w:ascii="Arial" w:hAnsi="Arial" w:cs="Arial"/>
          <w:i/>
          <w:sz w:val="20"/>
          <w:szCs w:val="20"/>
        </w:rPr>
        <w:t>/</w:t>
      </w:r>
      <w:r w:rsidRPr="007A388B">
        <w:rPr>
          <w:rFonts w:ascii="Arial" w:hAnsi="Arial" w:cs="Arial"/>
          <w:i/>
          <w:sz w:val="20"/>
          <w:szCs w:val="20"/>
        </w:rPr>
        <w:t>month (130 X $</w:t>
      </w:r>
      <w:r w:rsidR="008102A3">
        <w:rPr>
          <w:rFonts w:ascii="Arial" w:hAnsi="Arial" w:cs="Arial"/>
          <w:i/>
          <w:sz w:val="20"/>
          <w:szCs w:val="20"/>
        </w:rPr>
        <w:t>10</w:t>
      </w:r>
      <w:r w:rsidRPr="007A388B">
        <w:rPr>
          <w:rFonts w:ascii="Arial" w:hAnsi="Arial" w:cs="Arial"/>
          <w:i/>
          <w:sz w:val="20"/>
          <w:szCs w:val="20"/>
        </w:rPr>
        <w:t xml:space="preserve"> X 9.</w:t>
      </w:r>
      <w:r w:rsidR="008102A3">
        <w:rPr>
          <w:rFonts w:ascii="Arial" w:hAnsi="Arial" w:cs="Arial"/>
          <w:i/>
          <w:sz w:val="20"/>
          <w:szCs w:val="20"/>
        </w:rPr>
        <w:t>61</w:t>
      </w:r>
      <w:r w:rsidRPr="007A388B">
        <w:rPr>
          <w:rFonts w:ascii="Arial" w:hAnsi="Arial" w:cs="Arial"/>
          <w:i/>
          <w:sz w:val="20"/>
          <w:szCs w:val="20"/>
        </w:rPr>
        <w:t>%</w:t>
      </w:r>
      <w:r w:rsidR="00EC7F7C">
        <w:rPr>
          <w:rFonts w:ascii="Arial" w:hAnsi="Arial" w:cs="Arial"/>
          <w:i/>
          <w:sz w:val="20"/>
          <w:szCs w:val="20"/>
        </w:rPr>
        <w:t xml:space="preserve"> in 202</w:t>
      </w:r>
      <w:r w:rsidR="008102A3">
        <w:rPr>
          <w:rFonts w:ascii="Arial" w:hAnsi="Arial" w:cs="Arial"/>
          <w:i/>
          <w:sz w:val="20"/>
          <w:szCs w:val="20"/>
        </w:rPr>
        <w:t>2</w:t>
      </w:r>
      <w:r w:rsidRPr="007A388B">
        <w:rPr>
          <w:rFonts w:ascii="Arial" w:hAnsi="Arial" w:cs="Arial"/>
          <w:i/>
          <w:sz w:val="20"/>
          <w:szCs w:val="20"/>
        </w:rPr>
        <w:t xml:space="preserve">), the coverage will be considered affordable.  </w:t>
      </w:r>
    </w:p>
    <w:p w14:paraId="50584757" w14:textId="77777777" w:rsidR="00D223E5" w:rsidRPr="007A388B" w:rsidRDefault="00D223E5" w:rsidP="006B5292">
      <w:pPr>
        <w:pStyle w:val="ColorfulList-Accent11"/>
        <w:ind w:left="0"/>
        <w:rPr>
          <w:rFonts w:ascii="Arial" w:hAnsi="Arial" w:cs="Arial"/>
          <w:sz w:val="20"/>
          <w:szCs w:val="20"/>
        </w:rPr>
      </w:pPr>
    </w:p>
    <w:p w14:paraId="65B5B5EF" w14:textId="77777777" w:rsidR="009F128D" w:rsidRPr="007A388B" w:rsidRDefault="009F128D" w:rsidP="00B1435D">
      <w:pPr>
        <w:pStyle w:val="ColorfulList-Accent11"/>
        <w:numPr>
          <w:ilvl w:val="0"/>
          <w:numId w:val="2"/>
        </w:numPr>
        <w:ind w:left="720"/>
        <w:rPr>
          <w:rFonts w:ascii="Arial" w:hAnsi="Arial" w:cs="Arial"/>
          <w:sz w:val="20"/>
          <w:szCs w:val="20"/>
        </w:rPr>
      </w:pPr>
      <w:r w:rsidRPr="007A388B">
        <w:rPr>
          <w:rFonts w:ascii="Arial" w:hAnsi="Arial" w:cs="Arial"/>
          <w:bCs/>
          <w:sz w:val="20"/>
          <w:szCs w:val="20"/>
          <w:u w:val="single"/>
        </w:rPr>
        <w:t>Form W-2 Safe Harbor</w:t>
      </w:r>
      <w:r w:rsidRPr="007A388B">
        <w:rPr>
          <w:rFonts w:ascii="Arial" w:hAnsi="Arial" w:cs="Arial"/>
          <w:sz w:val="20"/>
          <w:szCs w:val="20"/>
        </w:rPr>
        <w:t xml:space="preserve"> – </w:t>
      </w:r>
    </w:p>
    <w:p w14:paraId="07119028" w14:textId="0D59565A" w:rsidR="009F128D" w:rsidRPr="007A388B" w:rsidRDefault="007B799A" w:rsidP="00B1435D">
      <w:pPr>
        <w:pStyle w:val="ColorfulList-Accent11"/>
        <w:numPr>
          <w:ilvl w:val="0"/>
          <w:numId w:val="5"/>
        </w:numPr>
        <w:rPr>
          <w:rFonts w:ascii="Arial" w:hAnsi="Arial" w:cs="Arial"/>
          <w:sz w:val="20"/>
          <w:szCs w:val="20"/>
        </w:rPr>
      </w:pPr>
      <w:r w:rsidRPr="007A388B">
        <w:rPr>
          <w:rFonts w:ascii="Arial" w:hAnsi="Arial" w:cs="Arial"/>
          <w:sz w:val="20"/>
          <w:szCs w:val="20"/>
        </w:rPr>
        <w:t>Under this safe harbor, the employee’s annual contribution for single coverage is affordable if it is ≤ 9.</w:t>
      </w:r>
      <w:r w:rsidR="000D759D">
        <w:rPr>
          <w:rFonts w:ascii="Arial" w:hAnsi="Arial" w:cs="Arial"/>
          <w:sz w:val="20"/>
          <w:szCs w:val="20"/>
        </w:rPr>
        <w:t>61</w:t>
      </w:r>
      <w:r w:rsidRPr="007A388B">
        <w:rPr>
          <w:rFonts w:ascii="Arial" w:hAnsi="Arial" w:cs="Arial"/>
          <w:sz w:val="20"/>
          <w:szCs w:val="20"/>
        </w:rPr>
        <w:t>%</w:t>
      </w:r>
      <w:r w:rsidR="00EC7F7C">
        <w:rPr>
          <w:rFonts w:ascii="Arial" w:hAnsi="Arial" w:cs="Arial"/>
          <w:sz w:val="20"/>
          <w:szCs w:val="20"/>
        </w:rPr>
        <w:t xml:space="preserve"> (in 202</w:t>
      </w:r>
      <w:r w:rsidR="000D759D">
        <w:rPr>
          <w:rFonts w:ascii="Arial" w:hAnsi="Arial" w:cs="Arial"/>
          <w:sz w:val="20"/>
          <w:szCs w:val="20"/>
        </w:rPr>
        <w:t>2</w:t>
      </w:r>
      <w:r w:rsidR="00EC7F7C">
        <w:rPr>
          <w:rFonts w:ascii="Arial" w:hAnsi="Arial" w:cs="Arial"/>
          <w:sz w:val="20"/>
          <w:szCs w:val="20"/>
        </w:rPr>
        <w:t>)</w:t>
      </w:r>
      <w:r w:rsidRPr="007A388B">
        <w:rPr>
          <w:rFonts w:ascii="Arial" w:hAnsi="Arial" w:cs="Arial"/>
          <w:sz w:val="20"/>
          <w:szCs w:val="20"/>
        </w:rPr>
        <w:t xml:space="preserve"> of the employee’s Form W-2 Box 1 wages. </w:t>
      </w:r>
      <w:r w:rsidR="009F128D" w:rsidRPr="007A388B">
        <w:rPr>
          <w:rFonts w:ascii="Arial" w:hAnsi="Arial" w:cs="Arial"/>
          <w:sz w:val="20"/>
          <w:szCs w:val="20"/>
        </w:rPr>
        <w:t xml:space="preserve">Application of this safe harbor is determined after the end of the calendar year, taking into account the employee's annual W-2 wages (as reported in Box 1) and the employee contribution for the full calendar year </w:t>
      </w:r>
      <w:r w:rsidRPr="007A388B">
        <w:rPr>
          <w:rFonts w:ascii="Arial" w:hAnsi="Arial" w:cs="Arial"/>
          <w:sz w:val="20"/>
          <w:szCs w:val="20"/>
        </w:rPr>
        <w:t>(e.g.</w:t>
      </w:r>
      <w:r w:rsidR="000D759D">
        <w:rPr>
          <w:rFonts w:ascii="Arial" w:hAnsi="Arial" w:cs="Arial"/>
          <w:sz w:val="20"/>
          <w:szCs w:val="20"/>
        </w:rPr>
        <w:t>,</w:t>
      </w:r>
      <w:r w:rsidRPr="007A388B">
        <w:rPr>
          <w:rFonts w:ascii="Arial" w:hAnsi="Arial" w:cs="Arial"/>
          <w:sz w:val="20"/>
          <w:szCs w:val="20"/>
        </w:rPr>
        <w:t xml:space="preserve"> employee’s 202</w:t>
      </w:r>
      <w:r w:rsidR="000D759D">
        <w:rPr>
          <w:rFonts w:ascii="Arial" w:hAnsi="Arial" w:cs="Arial"/>
          <w:sz w:val="20"/>
          <w:szCs w:val="20"/>
        </w:rPr>
        <w:t>2</w:t>
      </w:r>
      <w:r w:rsidRPr="007A388B">
        <w:rPr>
          <w:rFonts w:ascii="Arial" w:hAnsi="Arial" w:cs="Arial"/>
          <w:sz w:val="20"/>
          <w:szCs w:val="20"/>
        </w:rPr>
        <w:t xml:space="preserve"> Box 1 wages and employee contributions during 202</w:t>
      </w:r>
      <w:r w:rsidR="000D759D">
        <w:rPr>
          <w:rFonts w:ascii="Arial" w:hAnsi="Arial" w:cs="Arial"/>
          <w:sz w:val="20"/>
          <w:szCs w:val="20"/>
        </w:rPr>
        <w:t>2</w:t>
      </w:r>
      <w:r w:rsidRPr="007A388B">
        <w:rPr>
          <w:rFonts w:ascii="Arial" w:hAnsi="Arial" w:cs="Arial"/>
          <w:sz w:val="20"/>
          <w:szCs w:val="20"/>
        </w:rPr>
        <w:t>)</w:t>
      </w:r>
      <w:r w:rsidR="009F128D" w:rsidRPr="007A388B">
        <w:rPr>
          <w:rFonts w:ascii="Arial" w:hAnsi="Arial" w:cs="Arial"/>
          <w:sz w:val="20"/>
          <w:szCs w:val="20"/>
        </w:rPr>
        <w:t>.</w:t>
      </w:r>
      <w:bookmarkStart w:id="4" w:name="SRC_268"/>
      <w:bookmarkEnd w:id="4"/>
      <w:r w:rsidR="009F128D" w:rsidRPr="007A388B">
        <w:rPr>
          <w:rStyle w:val="apple-converted-space"/>
          <w:rFonts w:ascii="Arial" w:hAnsi="Arial" w:cs="Arial"/>
          <w:b/>
          <w:sz w:val="20"/>
          <w:bdr w:val="none" w:sz="0" w:space="0" w:color="auto" w:frame="1"/>
          <w:vertAlign w:val="superscript"/>
        </w:rPr>
        <w:t xml:space="preserve"> </w:t>
      </w:r>
      <w:r w:rsidR="009F128D" w:rsidRPr="007A388B">
        <w:rPr>
          <w:rFonts w:ascii="Arial" w:hAnsi="Arial" w:cs="Arial"/>
          <w:sz w:val="20"/>
          <w:szCs w:val="20"/>
        </w:rPr>
        <w:t>  </w:t>
      </w:r>
    </w:p>
    <w:p w14:paraId="47D40B73" w14:textId="77777777" w:rsidR="009F128D" w:rsidRPr="007A388B" w:rsidRDefault="009F128D" w:rsidP="00B1435D">
      <w:pPr>
        <w:pStyle w:val="ColorfulList-Accent11"/>
        <w:numPr>
          <w:ilvl w:val="0"/>
          <w:numId w:val="5"/>
        </w:numPr>
        <w:rPr>
          <w:rFonts w:ascii="Arial" w:hAnsi="Arial" w:cs="Arial"/>
          <w:sz w:val="20"/>
          <w:szCs w:val="20"/>
        </w:rPr>
      </w:pPr>
      <w:r w:rsidRPr="007A388B">
        <w:rPr>
          <w:rFonts w:ascii="Arial" w:hAnsi="Arial" w:cs="Arial"/>
          <w:sz w:val="20"/>
          <w:szCs w:val="20"/>
        </w:rPr>
        <w:t>To use this method, an employee’s required contribution must remain a consistent amount or a consistent percentage of all Form W-2 wages during the year.</w:t>
      </w:r>
    </w:p>
    <w:p w14:paraId="2CC8081B" w14:textId="77777777" w:rsidR="009F128D" w:rsidRPr="007A388B" w:rsidRDefault="009F128D" w:rsidP="00B1435D">
      <w:pPr>
        <w:pStyle w:val="ColorfulList-Accent11"/>
        <w:numPr>
          <w:ilvl w:val="0"/>
          <w:numId w:val="5"/>
        </w:numPr>
        <w:rPr>
          <w:rFonts w:ascii="Arial" w:hAnsi="Arial" w:cs="Arial"/>
          <w:sz w:val="20"/>
          <w:szCs w:val="20"/>
        </w:rPr>
      </w:pPr>
      <w:r w:rsidRPr="007A388B">
        <w:rPr>
          <w:rFonts w:ascii="Arial" w:hAnsi="Arial" w:cs="Arial"/>
          <w:sz w:val="20"/>
          <w:szCs w:val="20"/>
        </w:rPr>
        <w:lastRenderedPageBreak/>
        <w:t>Box 1 is used to report taxable wages, bonuses, tips, and other compensation paid by the employer, as defined in</w:t>
      </w:r>
      <w:r w:rsidRPr="007A388B">
        <w:rPr>
          <w:rStyle w:val="apple-converted-space"/>
          <w:rFonts w:ascii="Arial" w:hAnsi="Arial" w:cs="Arial"/>
          <w:sz w:val="20"/>
          <w:szCs w:val="20"/>
        </w:rPr>
        <w:t> </w:t>
      </w:r>
      <w:bookmarkStart w:id="5" w:name="HCRFRM:4298.22-1"/>
      <w:r w:rsidRPr="007A388B">
        <w:rPr>
          <w:rFonts w:ascii="Arial" w:hAnsi="Arial" w:cs="Arial"/>
          <w:bCs/>
          <w:spacing w:val="2"/>
          <w:sz w:val="20"/>
          <w:szCs w:val="20"/>
          <w:bdr w:val="none" w:sz="0" w:space="0" w:color="auto" w:frame="1"/>
        </w:rPr>
        <w:t>Code §3401(a).</w:t>
      </w:r>
      <w:bookmarkEnd w:id="5"/>
      <w:r w:rsidRPr="007A388B">
        <w:rPr>
          <w:rStyle w:val="apple-converted-space"/>
          <w:rFonts w:ascii="Arial" w:hAnsi="Arial" w:cs="Arial"/>
          <w:sz w:val="20"/>
          <w:szCs w:val="20"/>
        </w:rPr>
        <w:t> </w:t>
      </w:r>
      <w:r w:rsidRPr="007A388B">
        <w:rPr>
          <w:rFonts w:ascii="Arial" w:hAnsi="Arial" w:cs="Arial"/>
          <w:sz w:val="20"/>
          <w:szCs w:val="20"/>
        </w:rPr>
        <w:t>It does not include non-taxable employee benefits, such as pre-tax contributions to a 401(k) plan or pre-tax cafeteria plan salary reductions.</w:t>
      </w:r>
    </w:p>
    <w:p w14:paraId="10EBB8AC" w14:textId="77777777" w:rsidR="007B799A" w:rsidRPr="007A388B" w:rsidRDefault="007B799A" w:rsidP="009F128D">
      <w:pPr>
        <w:pStyle w:val="ColorfulList-Accent11"/>
        <w:numPr>
          <w:ilvl w:val="0"/>
          <w:numId w:val="5"/>
        </w:numPr>
        <w:rPr>
          <w:rFonts w:ascii="Arial" w:hAnsi="Arial" w:cs="Arial"/>
          <w:sz w:val="20"/>
          <w:szCs w:val="20"/>
        </w:rPr>
      </w:pPr>
      <w:r w:rsidRPr="007A388B">
        <w:rPr>
          <w:rFonts w:ascii="Arial" w:hAnsi="Arial" w:cs="Arial"/>
          <w:sz w:val="20"/>
          <w:szCs w:val="20"/>
        </w:rPr>
        <w:t>When using this in advance of the plan year to set employer contributions, the employer would have to base affordability on an estimate of Box 1 wages for the year.</w:t>
      </w:r>
    </w:p>
    <w:p w14:paraId="3E184F30" w14:textId="77777777" w:rsidR="00CF51FD" w:rsidRPr="007A388B" w:rsidRDefault="00CF51FD" w:rsidP="00CF51FD">
      <w:pPr>
        <w:pStyle w:val="ColorfulList-Accent11"/>
        <w:ind w:left="1080"/>
        <w:rPr>
          <w:rFonts w:ascii="Arial" w:hAnsi="Arial" w:cs="Arial"/>
          <w:i/>
          <w:sz w:val="20"/>
          <w:szCs w:val="20"/>
        </w:rPr>
      </w:pPr>
    </w:p>
    <w:p w14:paraId="45A2C0D3" w14:textId="1637E27A" w:rsidR="009F128D" w:rsidRPr="007A388B" w:rsidRDefault="009F128D" w:rsidP="00CF51FD">
      <w:pPr>
        <w:pStyle w:val="ColorfulList-Accent11"/>
        <w:ind w:left="1080"/>
        <w:rPr>
          <w:rFonts w:ascii="Arial" w:hAnsi="Arial" w:cs="Arial"/>
          <w:i/>
          <w:sz w:val="20"/>
          <w:szCs w:val="20"/>
        </w:rPr>
      </w:pPr>
      <w:r w:rsidRPr="007A388B">
        <w:rPr>
          <w:rFonts w:ascii="Arial" w:hAnsi="Arial" w:cs="Arial"/>
          <w:i/>
          <w:sz w:val="20"/>
          <w:szCs w:val="20"/>
        </w:rPr>
        <w:t>EXAMPLE 1 – Employee is full-time January through December and is offered minimum value coverage that costs the employee $1</w:t>
      </w:r>
      <w:r w:rsidR="00E0514A">
        <w:rPr>
          <w:rFonts w:ascii="Arial" w:hAnsi="Arial" w:cs="Arial"/>
          <w:i/>
          <w:sz w:val="20"/>
          <w:szCs w:val="20"/>
        </w:rPr>
        <w:t>50</w:t>
      </w:r>
      <w:r w:rsidR="00CA6013">
        <w:rPr>
          <w:rFonts w:ascii="Arial" w:hAnsi="Arial" w:cs="Arial"/>
          <w:i/>
          <w:sz w:val="20"/>
          <w:szCs w:val="20"/>
        </w:rPr>
        <w:t>/</w:t>
      </w:r>
      <w:r w:rsidRPr="007A388B">
        <w:rPr>
          <w:rFonts w:ascii="Arial" w:hAnsi="Arial" w:cs="Arial"/>
          <w:i/>
          <w:sz w:val="20"/>
          <w:szCs w:val="20"/>
        </w:rPr>
        <w:t>month for single coverage ($1</w:t>
      </w:r>
      <w:r w:rsidR="00EC7F7C">
        <w:rPr>
          <w:rFonts w:ascii="Arial" w:hAnsi="Arial" w:cs="Arial"/>
          <w:i/>
          <w:sz w:val="20"/>
          <w:szCs w:val="20"/>
        </w:rPr>
        <w:t>,</w:t>
      </w:r>
      <w:r w:rsidR="00AA424E">
        <w:rPr>
          <w:rFonts w:ascii="Arial" w:hAnsi="Arial" w:cs="Arial"/>
          <w:i/>
          <w:sz w:val="20"/>
          <w:szCs w:val="20"/>
        </w:rPr>
        <w:t>8</w:t>
      </w:r>
      <w:r w:rsidRPr="007A388B">
        <w:rPr>
          <w:rFonts w:ascii="Arial" w:hAnsi="Arial" w:cs="Arial"/>
          <w:i/>
          <w:sz w:val="20"/>
          <w:szCs w:val="20"/>
        </w:rPr>
        <w:t>00 for the year). This coverage will be affordable for any employees that have Box 1 W-2 wages of $</w:t>
      </w:r>
      <w:r w:rsidR="00455ECF">
        <w:rPr>
          <w:rFonts w:ascii="Arial" w:hAnsi="Arial" w:cs="Arial"/>
          <w:i/>
          <w:sz w:val="20"/>
          <w:szCs w:val="20"/>
        </w:rPr>
        <w:t>18,730.49</w:t>
      </w:r>
      <w:r w:rsidRPr="007A388B">
        <w:rPr>
          <w:rFonts w:ascii="Arial" w:hAnsi="Arial" w:cs="Arial"/>
          <w:i/>
          <w:sz w:val="20"/>
          <w:szCs w:val="20"/>
        </w:rPr>
        <w:t xml:space="preserve"> or more ($1</w:t>
      </w:r>
      <w:r w:rsidR="00EC7F7C">
        <w:rPr>
          <w:rFonts w:ascii="Arial" w:hAnsi="Arial" w:cs="Arial"/>
          <w:i/>
          <w:sz w:val="20"/>
          <w:szCs w:val="20"/>
        </w:rPr>
        <w:t>,</w:t>
      </w:r>
      <w:r w:rsidR="00D21175">
        <w:rPr>
          <w:rFonts w:ascii="Arial" w:hAnsi="Arial" w:cs="Arial"/>
          <w:i/>
          <w:sz w:val="20"/>
          <w:szCs w:val="20"/>
        </w:rPr>
        <w:t>8</w:t>
      </w:r>
      <w:r w:rsidRPr="007A388B">
        <w:rPr>
          <w:rFonts w:ascii="Arial" w:hAnsi="Arial" w:cs="Arial"/>
          <w:i/>
          <w:sz w:val="20"/>
          <w:szCs w:val="20"/>
        </w:rPr>
        <w:t>00 / 9.</w:t>
      </w:r>
      <w:r w:rsidR="00D21175">
        <w:rPr>
          <w:rFonts w:ascii="Arial" w:hAnsi="Arial" w:cs="Arial"/>
          <w:i/>
          <w:sz w:val="20"/>
          <w:szCs w:val="20"/>
        </w:rPr>
        <w:t>61</w:t>
      </w:r>
      <w:r w:rsidRPr="007A388B">
        <w:rPr>
          <w:rFonts w:ascii="Arial" w:hAnsi="Arial" w:cs="Arial"/>
          <w:i/>
          <w:sz w:val="20"/>
          <w:szCs w:val="20"/>
        </w:rPr>
        <w:t>%</w:t>
      </w:r>
      <w:r w:rsidR="00EC7F7C">
        <w:rPr>
          <w:rFonts w:ascii="Arial" w:hAnsi="Arial" w:cs="Arial"/>
          <w:i/>
          <w:sz w:val="20"/>
          <w:szCs w:val="20"/>
        </w:rPr>
        <w:t xml:space="preserve"> in 202</w:t>
      </w:r>
      <w:r w:rsidR="00D21175">
        <w:rPr>
          <w:rFonts w:ascii="Arial" w:hAnsi="Arial" w:cs="Arial"/>
          <w:i/>
          <w:sz w:val="20"/>
          <w:szCs w:val="20"/>
        </w:rPr>
        <w:t>2</w:t>
      </w:r>
      <w:r w:rsidRPr="007A388B">
        <w:rPr>
          <w:rFonts w:ascii="Arial" w:hAnsi="Arial" w:cs="Arial"/>
          <w:i/>
          <w:sz w:val="20"/>
          <w:szCs w:val="20"/>
        </w:rPr>
        <w:t>).</w:t>
      </w:r>
    </w:p>
    <w:p w14:paraId="0FCC3712" w14:textId="77777777" w:rsidR="00CF51FD" w:rsidRPr="007A388B" w:rsidRDefault="00CF51FD" w:rsidP="00CF51FD">
      <w:pPr>
        <w:pStyle w:val="ColorfulList-Accent11"/>
        <w:ind w:left="1080"/>
        <w:rPr>
          <w:rFonts w:ascii="Arial" w:hAnsi="Arial" w:cs="Arial"/>
          <w:i/>
          <w:sz w:val="20"/>
          <w:szCs w:val="20"/>
        </w:rPr>
      </w:pPr>
    </w:p>
    <w:p w14:paraId="28696DE7" w14:textId="48CEAF07" w:rsidR="00DD0B06" w:rsidRPr="007A388B" w:rsidRDefault="009F128D" w:rsidP="00CF51FD">
      <w:pPr>
        <w:pStyle w:val="ColorfulList-Accent11"/>
        <w:ind w:left="1080"/>
        <w:rPr>
          <w:rFonts w:ascii="Arial" w:hAnsi="Arial" w:cs="Arial"/>
          <w:sz w:val="20"/>
          <w:szCs w:val="20"/>
        </w:rPr>
      </w:pPr>
      <w:r w:rsidRPr="007A388B">
        <w:rPr>
          <w:rFonts w:ascii="Arial" w:hAnsi="Arial" w:cs="Arial"/>
          <w:i/>
          <w:sz w:val="20"/>
          <w:szCs w:val="20"/>
        </w:rPr>
        <w:t>EXAMPLE 2 – Employer expects that all full-time employees will have at least $</w:t>
      </w:r>
      <w:r w:rsidR="00735383">
        <w:rPr>
          <w:rFonts w:ascii="Arial" w:hAnsi="Arial" w:cs="Arial"/>
          <w:i/>
          <w:sz w:val="20"/>
          <w:szCs w:val="20"/>
        </w:rPr>
        <w:t>2</w:t>
      </w:r>
      <w:r w:rsidRPr="007A388B">
        <w:rPr>
          <w:rFonts w:ascii="Arial" w:hAnsi="Arial" w:cs="Arial"/>
          <w:i/>
          <w:sz w:val="20"/>
          <w:szCs w:val="20"/>
        </w:rPr>
        <w:t xml:space="preserve">5,000 or more reported in Box 1 during the year. So long as the employee contributions for </w:t>
      </w:r>
      <w:r w:rsidR="007B799A" w:rsidRPr="007A388B">
        <w:rPr>
          <w:rFonts w:ascii="Arial" w:hAnsi="Arial" w:cs="Arial"/>
          <w:i/>
          <w:sz w:val="20"/>
          <w:szCs w:val="20"/>
        </w:rPr>
        <w:t xml:space="preserve">single coverage </w:t>
      </w:r>
      <w:r w:rsidRPr="007A388B">
        <w:rPr>
          <w:rFonts w:ascii="Arial" w:hAnsi="Arial" w:cs="Arial"/>
          <w:i/>
          <w:sz w:val="20"/>
          <w:szCs w:val="20"/>
        </w:rPr>
        <w:t>do not exceed $</w:t>
      </w:r>
      <w:r w:rsidR="00402D38">
        <w:rPr>
          <w:rFonts w:ascii="Arial" w:hAnsi="Arial" w:cs="Arial"/>
          <w:i/>
          <w:sz w:val="20"/>
          <w:szCs w:val="20"/>
        </w:rPr>
        <w:t>2,402.50</w:t>
      </w:r>
      <w:r w:rsidRPr="007A388B">
        <w:rPr>
          <w:rFonts w:ascii="Arial" w:hAnsi="Arial" w:cs="Arial"/>
          <w:i/>
          <w:sz w:val="20"/>
          <w:szCs w:val="20"/>
        </w:rPr>
        <w:t xml:space="preserve"> for the year ($</w:t>
      </w:r>
      <w:r w:rsidR="0011129C">
        <w:rPr>
          <w:rFonts w:ascii="Arial" w:hAnsi="Arial" w:cs="Arial"/>
          <w:i/>
          <w:sz w:val="20"/>
          <w:szCs w:val="20"/>
        </w:rPr>
        <w:t>2</w:t>
      </w:r>
      <w:r w:rsidRPr="007A388B">
        <w:rPr>
          <w:rFonts w:ascii="Arial" w:hAnsi="Arial" w:cs="Arial"/>
          <w:i/>
          <w:sz w:val="20"/>
          <w:szCs w:val="20"/>
        </w:rPr>
        <w:t>5,000 X 9.</w:t>
      </w:r>
      <w:r w:rsidR="0011129C">
        <w:rPr>
          <w:rFonts w:ascii="Arial" w:hAnsi="Arial" w:cs="Arial"/>
          <w:i/>
          <w:sz w:val="20"/>
          <w:szCs w:val="20"/>
        </w:rPr>
        <w:t>61</w:t>
      </w:r>
      <w:r w:rsidRPr="007A388B">
        <w:rPr>
          <w:rFonts w:ascii="Arial" w:hAnsi="Arial" w:cs="Arial"/>
          <w:i/>
          <w:sz w:val="20"/>
          <w:szCs w:val="20"/>
        </w:rPr>
        <w:t>%</w:t>
      </w:r>
      <w:r w:rsidR="00EC7F7C">
        <w:rPr>
          <w:rFonts w:ascii="Arial" w:hAnsi="Arial" w:cs="Arial"/>
          <w:i/>
          <w:sz w:val="20"/>
          <w:szCs w:val="20"/>
        </w:rPr>
        <w:t xml:space="preserve"> in 202</w:t>
      </w:r>
      <w:r w:rsidR="0011129C">
        <w:rPr>
          <w:rFonts w:ascii="Arial" w:hAnsi="Arial" w:cs="Arial"/>
          <w:i/>
          <w:sz w:val="20"/>
          <w:szCs w:val="20"/>
        </w:rPr>
        <w:t>2</w:t>
      </w:r>
      <w:r w:rsidRPr="007A388B">
        <w:rPr>
          <w:rFonts w:ascii="Arial" w:hAnsi="Arial" w:cs="Arial"/>
          <w:i/>
          <w:sz w:val="20"/>
          <w:szCs w:val="20"/>
        </w:rPr>
        <w:t xml:space="preserve">), the coverage will be affordable for those considered full-time all 12 months.  </w:t>
      </w:r>
    </w:p>
    <w:p w14:paraId="6FAA11E1" w14:textId="77777777" w:rsidR="00BE786E" w:rsidRPr="007A388B" w:rsidRDefault="00BE786E" w:rsidP="009F128D">
      <w:pPr>
        <w:ind w:left="0"/>
        <w:rPr>
          <w:rFonts w:cs="Arial"/>
          <w:color w:val="252525"/>
          <w:szCs w:val="20"/>
        </w:rPr>
      </w:pPr>
    </w:p>
    <w:p w14:paraId="6A7CD235" w14:textId="77777777" w:rsidR="009F128D" w:rsidRPr="007A388B" w:rsidRDefault="009F128D" w:rsidP="009F128D">
      <w:pPr>
        <w:ind w:left="0"/>
        <w:rPr>
          <w:rFonts w:cs="Arial"/>
          <w:b/>
          <w:color w:val="252525"/>
          <w:szCs w:val="20"/>
        </w:rPr>
      </w:pPr>
      <w:r w:rsidRPr="007A388B">
        <w:rPr>
          <w:rFonts w:cs="Arial"/>
          <w:b/>
          <w:color w:val="252525"/>
          <w:szCs w:val="20"/>
        </w:rPr>
        <w:t>Affordable and Not Affordable at the Same Time!</w:t>
      </w:r>
    </w:p>
    <w:p w14:paraId="519923A1" w14:textId="77777777" w:rsidR="009F128D" w:rsidRPr="007A388B" w:rsidRDefault="009F128D" w:rsidP="009F128D">
      <w:pPr>
        <w:ind w:left="0"/>
        <w:rPr>
          <w:rFonts w:cs="Arial"/>
          <w:b/>
          <w:szCs w:val="20"/>
        </w:rPr>
      </w:pPr>
      <w:r w:rsidRPr="007A388B">
        <w:rPr>
          <w:rFonts w:cs="Arial"/>
          <w:szCs w:val="20"/>
        </w:rPr>
        <w:t xml:space="preserve">Subsidy eligibility </w:t>
      </w:r>
      <w:r w:rsidR="007B799A" w:rsidRPr="007A388B">
        <w:rPr>
          <w:rFonts w:cs="Arial"/>
          <w:szCs w:val="20"/>
        </w:rPr>
        <w:t xml:space="preserve">for coverage through a public Exchange </w:t>
      </w:r>
      <w:r w:rsidRPr="007A388B">
        <w:rPr>
          <w:rFonts w:cs="Arial"/>
          <w:szCs w:val="20"/>
        </w:rPr>
        <w:t xml:space="preserve">will always be based on </w:t>
      </w:r>
      <w:r w:rsidRPr="007A388B">
        <w:rPr>
          <w:rFonts w:cs="Arial"/>
          <w:szCs w:val="20"/>
          <w:u w:val="single"/>
        </w:rPr>
        <w:t>household</w:t>
      </w:r>
      <w:r w:rsidR="007B799A" w:rsidRPr="007A388B">
        <w:rPr>
          <w:rFonts w:cs="Arial"/>
          <w:szCs w:val="20"/>
          <w:u w:val="single"/>
        </w:rPr>
        <w:t xml:space="preserve"> </w:t>
      </w:r>
      <w:r w:rsidRPr="007A388B">
        <w:rPr>
          <w:rFonts w:cs="Arial"/>
          <w:szCs w:val="20"/>
          <w:u w:val="single"/>
        </w:rPr>
        <w:t>income</w:t>
      </w:r>
      <w:r w:rsidRPr="007A388B">
        <w:rPr>
          <w:rFonts w:cs="Arial"/>
          <w:szCs w:val="20"/>
        </w:rPr>
        <w:t>. </w:t>
      </w:r>
      <w:r w:rsidR="007B799A" w:rsidRPr="007A388B">
        <w:rPr>
          <w:rFonts w:cs="Arial"/>
          <w:szCs w:val="20"/>
        </w:rPr>
        <w:t>That being the case, i</w:t>
      </w:r>
      <w:r w:rsidRPr="007A388B">
        <w:rPr>
          <w:rFonts w:cs="Arial"/>
          <w:szCs w:val="20"/>
        </w:rPr>
        <w:t xml:space="preserve">f an individual qualifies for a tax subsidy because the employee contribution is deemed unaffordable using household income, but the employer can show that the coverage is affordable using one of the three safe harbor methods mentioned above, the employer will not be liable for a penalty under </w:t>
      </w:r>
      <w:r w:rsidR="007B799A" w:rsidRPr="007A388B">
        <w:rPr>
          <w:rFonts w:cs="Arial"/>
          <w:szCs w:val="20"/>
        </w:rPr>
        <w:t>§</w:t>
      </w:r>
      <w:r w:rsidRPr="007A388B">
        <w:rPr>
          <w:rFonts w:cs="Arial"/>
          <w:szCs w:val="20"/>
        </w:rPr>
        <w:t>4980H(b).</w:t>
      </w:r>
    </w:p>
    <w:p w14:paraId="7AF8B24C" w14:textId="77777777" w:rsidR="009F128D" w:rsidRPr="007A388B" w:rsidRDefault="009F128D" w:rsidP="009F128D">
      <w:pPr>
        <w:ind w:left="0"/>
        <w:rPr>
          <w:rFonts w:cs="Arial"/>
          <w:color w:val="252525"/>
          <w:sz w:val="21"/>
          <w:szCs w:val="21"/>
        </w:rPr>
      </w:pPr>
    </w:p>
    <w:p w14:paraId="31DD1382" w14:textId="77777777" w:rsidR="009F128D" w:rsidRPr="007A388B" w:rsidRDefault="009F128D" w:rsidP="009F128D">
      <w:pPr>
        <w:ind w:left="0"/>
        <w:rPr>
          <w:rFonts w:cs="Arial"/>
          <w:color w:val="252525"/>
          <w:sz w:val="21"/>
          <w:szCs w:val="21"/>
        </w:rPr>
      </w:pPr>
      <w:r w:rsidRPr="007A388B">
        <w:rPr>
          <w:rFonts w:cs="Arial"/>
          <w:color w:val="252525"/>
          <w:sz w:val="21"/>
          <w:szCs w:val="21"/>
        </w:rPr>
        <w:t>Consider the following example:</w:t>
      </w:r>
    </w:p>
    <w:p w14:paraId="4AB144BF" w14:textId="27FAF70E" w:rsidR="009F128D" w:rsidRPr="00C37B24" w:rsidRDefault="009F128D" w:rsidP="00C37B24">
      <w:pPr>
        <w:numPr>
          <w:ilvl w:val="0"/>
          <w:numId w:val="2"/>
        </w:numPr>
        <w:ind w:left="648"/>
        <w:rPr>
          <w:rFonts w:cs="Arial"/>
          <w:i/>
          <w:szCs w:val="20"/>
        </w:rPr>
      </w:pPr>
      <w:r w:rsidRPr="007A388B">
        <w:rPr>
          <w:rFonts w:cs="Arial"/>
          <w:i/>
          <w:szCs w:val="20"/>
        </w:rPr>
        <w:t>Employer determines that the lowest rate of pay for hourly employees is $1</w:t>
      </w:r>
      <w:r w:rsidR="00D76B13">
        <w:rPr>
          <w:rFonts w:cs="Arial"/>
          <w:i/>
          <w:szCs w:val="20"/>
        </w:rPr>
        <w:t>2</w:t>
      </w:r>
      <w:r w:rsidR="00971E66" w:rsidRPr="007A388B">
        <w:rPr>
          <w:rFonts w:cs="Arial"/>
          <w:i/>
          <w:szCs w:val="20"/>
        </w:rPr>
        <w:t>/</w:t>
      </w:r>
      <w:r w:rsidRPr="007A388B">
        <w:rPr>
          <w:rFonts w:cs="Arial"/>
          <w:i/>
          <w:szCs w:val="20"/>
        </w:rPr>
        <w:t>hour. Using the rate of pay safe harbor, the employer decides to set employee contribution</w:t>
      </w:r>
      <w:r w:rsidR="00971E66" w:rsidRPr="007A388B">
        <w:rPr>
          <w:rFonts w:cs="Arial"/>
          <w:i/>
          <w:szCs w:val="20"/>
        </w:rPr>
        <w:t>s</w:t>
      </w:r>
      <w:r w:rsidRPr="007A388B">
        <w:rPr>
          <w:rFonts w:cs="Arial"/>
          <w:i/>
          <w:szCs w:val="20"/>
        </w:rPr>
        <w:t xml:space="preserve"> for single coverage at $</w:t>
      </w:r>
      <w:r w:rsidR="00691EEA">
        <w:rPr>
          <w:rFonts w:cs="Arial"/>
          <w:i/>
          <w:szCs w:val="20"/>
        </w:rPr>
        <w:t>149</w:t>
      </w:r>
      <w:r w:rsidRPr="007A388B">
        <w:rPr>
          <w:rFonts w:cs="Arial"/>
          <w:i/>
          <w:szCs w:val="20"/>
        </w:rPr>
        <w:t>.</w:t>
      </w:r>
      <w:r w:rsidR="00DE124E" w:rsidRPr="007A388B">
        <w:rPr>
          <w:rFonts w:cs="Arial"/>
          <w:i/>
          <w:szCs w:val="20"/>
        </w:rPr>
        <w:t>00</w:t>
      </w:r>
      <w:r w:rsidR="00C37B24">
        <w:rPr>
          <w:rFonts w:cs="Arial"/>
          <w:i/>
          <w:szCs w:val="20"/>
        </w:rPr>
        <w:t xml:space="preserve"> (</w:t>
      </w:r>
      <w:r w:rsidRPr="00C37B24">
        <w:rPr>
          <w:rFonts w:cs="Arial"/>
          <w:i/>
          <w:szCs w:val="20"/>
        </w:rPr>
        <w:t>130 hours x $</w:t>
      </w:r>
      <w:r w:rsidR="00691EEA" w:rsidRPr="00C37B24">
        <w:rPr>
          <w:rFonts w:cs="Arial"/>
          <w:i/>
          <w:szCs w:val="20"/>
        </w:rPr>
        <w:t>12</w:t>
      </w:r>
      <w:r w:rsidRPr="00C37B24">
        <w:rPr>
          <w:rFonts w:cs="Arial"/>
          <w:i/>
          <w:szCs w:val="20"/>
        </w:rPr>
        <w:t>/h</w:t>
      </w:r>
      <w:r w:rsidR="00971E66" w:rsidRPr="00C37B24">
        <w:rPr>
          <w:rFonts w:cs="Arial"/>
          <w:i/>
          <w:szCs w:val="20"/>
        </w:rPr>
        <w:t>ou</w:t>
      </w:r>
      <w:r w:rsidRPr="00C37B24">
        <w:rPr>
          <w:rFonts w:cs="Arial"/>
          <w:i/>
          <w:szCs w:val="20"/>
        </w:rPr>
        <w:t xml:space="preserve">r x </w:t>
      </w:r>
      <w:r w:rsidR="00C37B24">
        <w:rPr>
          <w:rFonts w:cs="Arial"/>
          <w:i/>
          <w:szCs w:val="20"/>
        </w:rPr>
        <w:t>9.61%</w:t>
      </w:r>
      <w:r w:rsidRPr="00C37B24">
        <w:rPr>
          <w:rFonts w:cs="Arial"/>
          <w:i/>
          <w:szCs w:val="20"/>
        </w:rPr>
        <w:t xml:space="preserve"> = $</w:t>
      </w:r>
      <w:r w:rsidR="00691EEA" w:rsidRPr="00C37B24">
        <w:rPr>
          <w:rFonts w:cs="Arial"/>
          <w:i/>
          <w:szCs w:val="20"/>
        </w:rPr>
        <w:t>149.9</w:t>
      </w:r>
      <w:r w:rsidR="00C37B24" w:rsidRPr="00C37B24">
        <w:rPr>
          <w:rFonts w:cs="Arial"/>
          <w:i/>
          <w:szCs w:val="20"/>
        </w:rPr>
        <w:t>2</w:t>
      </w:r>
      <w:r w:rsidR="00C37B24">
        <w:rPr>
          <w:rFonts w:cs="Arial"/>
          <w:i/>
          <w:szCs w:val="20"/>
        </w:rPr>
        <w:t>).</w:t>
      </w:r>
    </w:p>
    <w:p w14:paraId="0DA739F8" w14:textId="5AE7874D" w:rsidR="009F128D" w:rsidRPr="007A388B" w:rsidRDefault="009F128D" w:rsidP="009F128D">
      <w:pPr>
        <w:numPr>
          <w:ilvl w:val="0"/>
          <w:numId w:val="2"/>
        </w:numPr>
        <w:ind w:left="648"/>
        <w:rPr>
          <w:rFonts w:cs="Arial"/>
          <w:i/>
          <w:szCs w:val="20"/>
        </w:rPr>
      </w:pPr>
      <w:r w:rsidRPr="007A388B">
        <w:rPr>
          <w:rFonts w:cs="Arial"/>
          <w:i/>
          <w:szCs w:val="20"/>
        </w:rPr>
        <w:t>One of the employer’s full-time employees earns about $</w:t>
      </w:r>
      <w:r w:rsidR="007D259E">
        <w:rPr>
          <w:rFonts w:cs="Arial"/>
          <w:i/>
          <w:szCs w:val="20"/>
        </w:rPr>
        <w:t>1,800</w:t>
      </w:r>
      <w:r w:rsidR="00971E66" w:rsidRPr="007A388B">
        <w:rPr>
          <w:rFonts w:cs="Arial"/>
          <w:i/>
          <w:szCs w:val="20"/>
        </w:rPr>
        <w:t>/</w:t>
      </w:r>
      <w:r w:rsidRPr="007A388B">
        <w:rPr>
          <w:rFonts w:cs="Arial"/>
          <w:i/>
          <w:szCs w:val="20"/>
        </w:rPr>
        <w:t>month, but</w:t>
      </w:r>
      <w:r w:rsidR="00AC5E02">
        <w:rPr>
          <w:rFonts w:cs="Arial"/>
          <w:i/>
          <w:szCs w:val="20"/>
        </w:rPr>
        <w:t xml:space="preserve"> also</w:t>
      </w:r>
      <w:r w:rsidRPr="007A388B">
        <w:rPr>
          <w:rFonts w:cs="Arial"/>
          <w:i/>
          <w:szCs w:val="20"/>
        </w:rPr>
        <w:t xml:space="preserve"> make</w:t>
      </w:r>
      <w:r w:rsidR="00971E66" w:rsidRPr="007A388B">
        <w:rPr>
          <w:rFonts w:cs="Arial"/>
          <w:i/>
          <w:szCs w:val="20"/>
        </w:rPr>
        <w:t>s</w:t>
      </w:r>
      <w:r w:rsidRPr="007A388B">
        <w:rPr>
          <w:rFonts w:cs="Arial"/>
          <w:i/>
          <w:szCs w:val="20"/>
        </w:rPr>
        <w:t xml:space="preserve"> a $300</w:t>
      </w:r>
      <w:r w:rsidR="00CA6013">
        <w:rPr>
          <w:rFonts w:cs="Arial"/>
          <w:i/>
          <w:szCs w:val="20"/>
        </w:rPr>
        <w:t>/</w:t>
      </w:r>
      <w:r w:rsidRPr="007A388B">
        <w:rPr>
          <w:rFonts w:cs="Arial"/>
          <w:i/>
          <w:szCs w:val="20"/>
        </w:rPr>
        <w:t xml:space="preserve">month alimony payment. </w:t>
      </w:r>
    </w:p>
    <w:p w14:paraId="636785C1" w14:textId="77777777" w:rsidR="009F128D" w:rsidRPr="007A388B" w:rsidRDefault="009F128D" w:rsidP="009F128D">
      <w:pPr>
        <w:numPr>
          <w:ilvl w:val="1"/>
          <w:numId w:val="2"/>
        </w:numPr>
        <w:ind w:left="1080"/>
        <w:rPr>
          <w:rFonts w:cs="Arial"/>
          <w:i/>
          <w:szCs w:val="20"/>
        </w:rPr>
      </w:pPr>
      <w:r w:rsidRPr="007A388B">
        <w:rPr>
          <w:rFonts w:cs="Arial"/>
          <w:i/>
          <w:szCs w:val="20"/>
        </w:rPr>
        <w:t>Household income for subsidy purposes is based on an individual’s household adjusted gross income (AGI), and alimony payments are an “above the line” deduction that reduces an individual’s AGI.</w:t>
      </w:r>
    </w:p>
    <w:p w14:paraId="158332D4" w14:textId="01C3601D" w:rsidR="009F128D" w:rsidRPr="007A388B" w:rsidRDefault="009F128D" w:rsidP="009F128D">
      <w:pPr>
        <w:numPr>
          <w:ilvl w:val="1"/>
          <w:numId w:val="2"/>
        </w:numPr>
        <w:ind w:left="1080"/>
        <w:rPr>
          <w:rFonts w:cs="Arial"/>
          <w:i/>
          <w:szCs w:val="20"/>
        </w:rPr>
      </w:pPr>
      <w:r w:rsidRPr="007A388B">
        <w:rPr>
          <w:rFonts w:cs="Arial"/>
          <w:i/>
          <w:szCs w:val="20"/>
        </w:rPr>
        <w:t>Consequently, this individual’s monthly household income equals $1</w:t>
      </w:r>
      <w:r w:rsidR="00EC7F7C">
        <w:rPr>
          <w:rFonts w:cs="Arial"/>
          <w:i/>
          <w:szCs w:val="20"/>
        </w:rPr>
        <w:t>,</w:t>
      </w:r>
      <w:r w:rsidR="007D259E">
        <w:rPr>
          <w:rFonts w:cs="Arial"/>
          <w:i/>
          <w:szCs w:val="20"/>
        </w:rPr>
        <w:t>5</w:t>
      </w:r>
      <w:r w:rsidRPr="007A388B">
        <w:rPr>
          <w:rFonts w:cs="Arial"/>
          <w:i/>
          <w:szCs w:val="20"/>
        </w:rPr>
        <w:t>00</w:t>
      </w:r>
      <w:r w:rsidR="00971E66" w:rsidRPr="007A388B">
        <w:rPr>
          <w:rFonts w:cs="Arial"/>
          <w:i/>
          <w:szCs w:val="20"/>
        </w:rPr>
        <w:t>,</w:t>
      </w:r>
      <w:r w:rsidRPr="007A388B">
        <w:rPr>
          <w:rFonts w:cs="Arial"/>
          <w:i/>
          <w:szCs w:val="20"/>
        </w:rPr>
        <w:t xml:space="preserve"> and the employee’s required contribution for single coverage (</w:t>
      </w:r>
      <w:r w:rsidR="00EC7F7C">
        <w:rPr>
          <w:rFonts w:cs="Arial"/>
          <w:i/>
          <w:szCs w:val="20"/>
        </w:rPr>
        <w:t>$</w:t>
      </w:r>
      <w:r w:rsidR="00876566">
        <w:rPr>
          <w:rFonts w:cs="Arial"/>
          <w:i/>
          <w:szCs w:val="20"/>
        </w:rPr>
        <w:t>149</w:t>
      </w:r>
      <w:r w:rsidRPr="007A388B">
        <w:rPr>
          <w:rFonts w:cs="Arial"/>
          <w:i/>
          <w:szCs w:val="20"/>
        </w:rPr>
        <w:t>.</w:t>
      </w:r>
      <w:r w:rsidR="00DE124E" w:rsidRPr="007A388B">
        <w:rPr>
          <w:rFonts w:cs="Arial"/>
          <w:i/>
          <w:szCs w:val="20"/>
        </w:rPr>
        <w:t>0</w:t>
      </w:r>
      <w:r w:rsidRPr="007A388B">
        <w:rPr>
          <w:rFonts w:cs="Arial"/>
          <w:i/>
          <w:szCs w:val="20"/>
        </w:rPr>
        <w:t xml:space="preserve">0) equals </w:t>
      </w:r>
      <w:r w:rsidR="00764DE7">
        <w:rPr>
          <w:rFonts w:cs="Arial"/>
          <w:i/>
          <w:szCs w:val="20"/>
        </w:rPr>
        <w:t>9.93</w:t>
      </w:r>
      <w:r w:rsidRPr="007A388B">
        <w:rPr>
          <w:rFonts w:cs="Arial"/>
          <w:i/>
          <w:szCs w:val="20"/>
        </w:rPr>
        <w:t>% of household income.</w:t>
      </w:r>
    </w:p>
    <w:p w14:paraId="6541B034" w14:textId="77777777" w:rsidR="009F128D" w:rsidRPr="007A388B" w:rsidRDefault="009F128D" w:rsidP="009F128D">
      <w:pPr>
        <w:numPr>
          <w:ilvl w:val="1"/>
          <w:numId w:val="2"/>
        </w:numPr>
        <w:ind w:left="1080"/>
        <w:rPr>
          <w:rFonts w:cs="Arial"/>
          <w:i/>
          <w:szCs w:val="20"/>
        </w:rPr>
      </w:pPr>
      <w:r w:rsidRPr="007A388B">
        <w:rPr>
          <w:rFonts w:cs="Arial"/>
          <w:i/>
          <w:szCs w:val="20"/>
        </w:rPr>
        <w:t xml:space="preserve">This employee </w:t>
      </w:r>
      <w:r w:rsidR="00971E66" w:rsidRPr="007A388B">
        <w:rPr>
          <w:rFonts w:cs="Arial"/>
          <w:i/>
          <w:szCs w:val="20"/>
        </w:rPr>
        <w:t>might</w:t>
      </w:r>
      <w:r w:rsidRPr="007A388B">
        <w:rPr>
          <w:rFonts w:cs="Arial"/>
          <w:i/>
          <w:szCs w:val="20"/>
        </w:rPr>
        <w:t xml:space="preserve"> qualify for a subsidy when purchasing individual health insurance thro</w:t>
      </w:r>
      <w:r w:rsidR="007E4ADD" w:rsidRPr="007A388B">
        <w:rPr>
          <w:rFonts w:cs="Arial"/>
          <w:i/>
          <w:szCs w:val="20"/>
        </w:rPr>
        <w:t xml:space="preserve">ugh a public </w:t>
      </w:r>
      <w:r w:rsidR="00971E66" w:rsidRPr="007A388B">
        <w:rPr>
          <w:rFonts w:cs="Arial"/>
          <w:i/>
          <w:szCs w:val="20"/>
        </w:rPr>
        <w:t>E</w:t>
      </w:r>
      <w:r w:rsidRPr="007A388B">
        <w:rPr>
          <w:rFonts w:cs="Arial"/>
          <w:i/>
          <w:szCs w:val="20"/>
        </w:rPr>
        <w:t xml:space="preserve">xchange, but the employer would face no liability under </w:t>
      </w:r>
      <w:r w:rsidR="00971E66" w:rsidRPr="007A388B">
        <w:rPr>
          <w:rFonts w:cs="Arial"/>
          <w:i/>
          <w:szCs w:val="20"/>
        </w:rPr>
        <w:t>§</w:t>
      </w:r>
      <w:r w:rsidRPr="007A388B">
        <w:rPr>
          <w:rFonts w:cs="Arial"/>
          <w:i/>
          <w:szCs w:val="20"/>
        </w:rPr>
        <w:t>4980H(b) due to meeting the rate of pay safe harbor.</w:t>
      </w:r>
    </w:p>
    <w:p w14:paraId="241195C8" w14:textId="77777777" w:rsidR="009F128D" w:rsidRPr="007A388B" w:rsidRDefault="009F128D" w:rsidP="009F128D">
      <w:pPr>
        <w:rPr>
          <w:rFonts w:cs="Arial"/>
          <w:szCs w:val="20"/>
        </w:rPr>
      </w:pPr>
    </w:p>
    <w:p w14:paraId="51ABD9CB" w14:textId="77777777" w:rsidR="009F128D" w:rsidRPr="007A388B" w:rsidRDefault="009F128D" w:rsidP="009F128D">
      <w:pPr>
        <w:ind w:left="0"/>
        <w:rPr>
          <w:rFonts w:cs="Arial"/>
          <w:b/>
          <w:szCs w:val="20"/>
        </w:rPr>
      </w:pPr>
      <w:r w:rsidRPr="007A388B">
        <w:rPr>
          <w:rFonts w:cs="Arial"/>
          <w:b/>
          <w:szCs w:val="20"/>
        </w:rPr>
        <w:t xml:space="preserve">Determining Employee Contributions </w:t>
      </w:r>
    </w:p>
    <w:p w14:paraId="48CF2D2B" w14:textId="5F4974CF" w:rsidR="009F128D" w:rsidRPr="007A388B" w:rsidRDefault="00085D10" w:rsidP="009F128D">
      <w:pPr>
        <w:ind w:left="0"/>
        <w:rPr>
          <w:rFonts w:cs="Arial"/>
          <w:szCs w:val="20"/>
        </w:rPr>
      </w:pPr>
      <w:r w:rsidRPr="007A388B">
        <w:rPr>
          <w:rFonts w:cs="Arial"/>
          <w:szCs w:val="20"/>
        </w:rPr>
        <w:t xml:space="preserve">The employee contribution considers the amount an employee is required to contribute toward single coverage under the lowest cost minimum value coverage offered by the employer. </w:t>
      </w:r>
      <w:r w:rsidR="009F128D" w:rsidRPr="007A388B">
        <w:rPr>
          <w:rFonts w:cs="Arial"/>
          <w:szCs w:val="20"/>
        </w:rPr>
        <w:t xml:space="preserve">In addition to the amount the employee is required to contribute toward the </w:t>
      </w:r>
      <w:r w:rsidRPr="007A388B">
        <w:rPr>
          <w:rFonts w:cs="Arial"/>
          <w:szCs w:val="20"/>
        </w:rPr>
        <w:t>monthly premium</w:t>
      </w:r>
      <w:r w:rsidR="009F128D" w:rsidRPr="007A388B">
        <w:rPr>
          <w:rFonts w:cs="Arial"/>
          <w:szCs w:val="20"/>
        </w:rPr>
        <w:t xml:space="preserve">, several other things may </w:t>
      </w:r>
      <w:r w:rsidRPr="007A388B">
        <w:rPr>
          <w:rFonts w:cs="Arial"/>
          <w:szCs w:val="20"/>
        </w:rPr>
        <w:t>impact</w:t>
      </w:r>
      <w:r w:rsidR="009F128D" w:rsidRPr="007A388B">
        <w:rPr>
          <w:rFonts w:cs="Arial"/>
          <w:szCs w:val="20"/>
        </w:rPr>
        <w:t xml:space="preserve"> the employee contribution</w:t>
      </w:r>
      <w:r w:rsidR="009B501C" w:rsidRPr="007A388B">
        <w:rPr>
          <w:rFonts w:cs="Arial"/>
          <w:szCs w:val="20"/>
        </w:rPr>
        <w:t xml:space="preserve"> reported on Line 15 of Form 1095-C</w:t>
      </w:r>
      <w:r w:rsidR="009F128D" w:rsidRPr="007A388B">
        <w:rPr>
          <w:rFonts w:cs="Arial"/>
          <w:szCs w:val="20"/>
        </w:rPr>
        <w:t xml:space="preserve"> for purposes of the affordability calculation as set forth below:  </w:t>
      </w:r>
    </w:p>
    <w:p w14:paraId="4F049E17" w14:textId="64B1167C" w:rsidR="009F128D" w:rsidRPr="007A388B" w:rsidRDefault="009F128D" w:rsidP="009F128D">
      <w:pPr>
        <w:numPr>
          <w:ilvl w:val="0"/>
          <w:numId w:val="7"/>
        </w:numPr>
        <w:rPr>
          <w:rFonts w:cs="Arial"/>
        </w:rPr>
      </w:pPr>
      <w:r w:rsidRPr="007A388B">
        <w:rPr>
          <w:rFonts w:cs="Arial"/>
          <w:szCs w:val="20"/>
          <w:u w:val="single"/>
        </w:rPr>
        <w:t>HSAs</w:t>
      </w:r>
      <w:r w:rsidRPr="007A388B">
        <w:rPr>
          <w:rFonts w:cs="Arial"/>
          <w:szCs w:val="20"/>
        </w:rPr>
        <w:t xml:space="preserve"> – Contributions to a health savings account (HSA)</w:t>
      </w:r>
      <w:r w:rsidR="00EC7F7C">
        <w:rPr>
          <w:rFonts w:cs="Arial"/>
          <w:szCs w:val="20"/>
        </w:rPr>
        <w:t xml:space="preserve">, </w:t>
      </w:r>
      <w:r w:rsidR="008E308F">
        <w:rPr>
          <w:rFonts w:cs="Arial"/>
          <w:szCs w:val="20"/>
        </w:rPr>
        <w:t xml:space="preserve">which are </w:t>
      </w:r>
      <w:r w:rsidR="00EC7F7C">
        <w:rPr>
          <w:rFonts w:cs="Arial"/>
          <w:szCs w:val="20"/>
        </w:rPr>
        <w:t>not available to pay for the insurance premium,</w:t>
      </w:r>
      <w:r w:rsidRPr="007A388B">
        <w:rPr>
          <w:rFonts w:cs="Arial"/>
          <w:szCs w:val="20"/>
        </w:rPr>
        <w:t xml:space="preserve"> do not affect affordability.</w:t>
      </w:r>
    </w:p>
    <w:p w14:paraId="7F31BF87" w14:textId="3BA0628B" w:rsidR="009F128D" w:rsidRPr="007A388B" w:rsidRDefault="009F128D" w:rsidP="00B1435D">
      <w:pPr>
        <w:numPr>
          <w:ilvl w:val="0"/>
          <w:numId w:val="14"/>
        </w:numPr>
        <w:rPr>
          <w:rFonts w:cs="Arial"/>
        </w:rPr>
      </w:pPr>
      <w:r w:rsidRPr="007A388B">
        <w:rPr>
          <w:rFonts w:cs="Arial"/>
          <w:szCs w:val="20"/>
          <w:u w:val="single"/>
        </w:rPr>
        <w:t>HRAs</w:t>
      </w:r>
      <w:r w:rsidRPr="007A388B">
        <w:rPr>
          <w:rFonts w:cs="Arial"/>
          <w:szCs w:val="20"/>
        </w:rPr>
        <w:t xml:space="preserve"> – Contributions to a health reimbursement account (HRA)</w:t>
      </w:r>
      <w:r w:rsidR="00085D10" w:rsidRPr="007A388B">
        <w:rPr>
          <w:rFonts w:cs="Arial"/>
          <w:szCs w:val="20"/>
        </w:rPr>
        <w:t xml:space="preserve"> are typically not available to reimburse the premium (</w:t>
      </w:r>
      <w:r w:rsidR="00624C3F">
        <w:rPr>
          <w:rFonts w:cs="Arial"/>
          <w:szCs w:val="20"/>
        </w:rPr>
        <w:t xml:space="preserve">they are </w:t>
      </w:r>
      <w:r w:rsidR="00EC7F7C">
        <w:rPr>
          <w:rFonts w:cs="Arial"/>
          <w:szCs w:val="20"/>
        </w:rPr>
        <w:t xml:space="preserve">more </w:t>
      </w:r>
      <w:r w:rsidR="00085D10" w:rsidRPr="007A388B">
        <w:rPr>
          <w:rFonts w:cs="Arial"/>
          <w:szCs w:val="20"/>
        </w:rPr>
        <w:t>often designed to offset plan cost-sharing)</w:t>
      </w:r>
      <w:r w:rsidRPr="007A388B">
        <w:rPr>
          <w:rFonts w:cs="Arial"/>
        </w:rPr>
        <w:t xml:space="preserve">, </w:t>
      </w:r>
      <w:r w:rsidR="00085D10" w:rsidRPr="007A388B">
        <w:rPr>
          <w:rFonts w:cs="Arial"/>
        </w:rPr>
        <w:t>and so employer contributions may</w:t>
      </w:r>
      <w:r w:rsidRPr="007A388B">
        <w:rPr>
          <w:rFonts w:cs="Arial"/>
        </w:rPr>
        <w:t xml:space="preserve"> count toward determining minimum value</w:t>
      </w:r>
      <w:r w:rsidR="00085D10" w:rsidRPr="007A388B">
        <w:rPr>
          <w:rFonts w:cs="Arial"/>
        </w:rPr>
        <w:t>, but do not impact the employee contribution for purposes of determining affordability.</w:t>
      </w:r>
      <w:r w:rsidRPr="007A388B">
        <w:rPr>
          <w:rFonts w:cs="Arial"/>
        </w:rPr>
        <w:t xml:space="preserve"> </w:t>
      </w:r>
    </w:p>
    <w:p w14:paraId="328DA2D1" w14:textId="034A4F6A" w:rsidR="00915B9B" w:rsidRPr="007A388B" w:rsidRDefault="009F128D" w:rsidP="00915B9B">
      <w:pPr>
        <w:numPr>
          <w:ilvl w:val="0"/>
          <w:numId w:val="6"/>
        </w:numPr>
        <w:rPr>
          <w:rFonts w:cs="Arial"/>
          <w:szCs w:val="20"/>
        </w:rPr>
      </w:pPr>
      <w:r w:rsidRPr="007A388B">
        <w:rPr>
          <w:rFonts w:cs="Arial"/>
          <w:u w:val="single"/>
        </w:rPr>
        <w:t>Flex Credits</w:t>
      </w:r>
      <w:r w:rsidRPr="007A388B">
        <w:rPr>
          <w:rFonts w:cs="Arial"/>
        </w:rPr>
        <w:t xml:space="preserve"> – </w:t>
      </w:r>
      <w:r w:rsidR="00085D10" w:rsidRPr="007A388B">
        <w:rPr>
          <w:rFonts w:cs="Arial"/>
        </w:rPr>
        <w:t>F</w:t>
      </w:r>
      <w:r w:rsidRPr="007A388B">
        <w:rPr>
          <w:rFonts w:cs="Arial"/>
        </w:rPr>
        <w:t>lex credits</w:t>
      </w:r>
      <w:r w:rsidR="00085D10" w:rsidRPr="007A388B">
        <w:rPr>
          <w:rFonts w:cs="Arial"/>
        </w:rPr>
        <w:t xml:space="preserve"> (or defined contributions) restricted to health coverage (e.g.</w:t>
      </w:r>
      <w:r w:rsidR="00624C3F">
        <w:rPr>
          <w:rFonts w:cs="Arial"/>
        </w:rPr>
        <w:t>,</w:t>
      </w:r>
      <w:r w:rsidR="00085D10" w:rsidRPr="007A388B">
        <w:rPr>
          <w:rFonts w:cs="Arial"/>
        </w:rPr>
        <w:t xml:space="preserve"> medical, dental, vision, </w:t>
      </w:r>
      <w:r w:rsidR="00624C3F">
        <w:rPr>
          <w:rFonts w:cs="Arial"/>
        </w:rPr>
        <w:t xml:space="preserve">or </w:t>
      </w:r>
      <w:r w:rsidR="00085D10" w:rsidRPr="007A388B">
        <w:rPr>
          <w:rFonts w:cs="Arial"/>
        </w:rPr>
        <w:t>health FSA) will decrease the employee contribution; but flex credits</w:t>
      </w:r>
      <w:r w:rsidRPr="007A388B">
        <w:rPr>
          <w:rFonts w:cs="Arial"/>
        </w:rPr>
        <w:t xml:space="preserve"> that can be used for </w:t>
      </w:r>
      <w:r w:rsidR="00085D10" w:rsidRPr="007A388B">
        <w:rPr>
          <w:rFonts w:cs="Arial"/>
        </w:rPr>
        <w:t>non-health coverage</w:t>
      </w:r>
      <w:r w:rsidRPr="007A388B">
        <w:rPr>
          <w:rFonts w:cs="Arial"/>
        </w:rPr>
        <w:t xml:space="preserve"> </w:t>
      </w:r>
      <w:r w:rsidR="00085D10" w:rsidRPr="007A388B">
        <w:rPr>
          <w:rFonts w:cs="Arial"/>
        </w:rPr>
        <w:t>do not decrease the employee contribution</w:t>
      </w:r>
      <w:r w:rsidRPr="007A388B">
        <w:rPr>
          <w:rFonts w:cs="Arial"/>
        </w:rPr>
        <w:t>.</w:t>
      </w:r>
    </w:p>
    <w:p w14:paraId="7EAC00AB" w14:textId="224F0841" w:rsidR="00915B9B" w:rsidRPr="007A388B" w:rsidRDefault="00085D10" w:rsidP="00915B9B">
      <w:pPr>
        <w:numPr>
          <w:ilvl w:val="0"/>
          <w:numId w:val="15"/>
        </w:numPr>
        <w:rPr>
          <w:rFonts w:cs="Arial"/>
          <w:szCs w:val="20"/>
        </w:rPr>
      </w:pPr>
      <w:r w:rsidRPr="007A388B">
        <w:rPr>
          <w:rFonts w:cs="Arial"/>
        </w:rPr>
        <w:t>For example,</w:t>
      </w:r>
      <w:r w:rsidR="0097186D">
        <w:rPr>
          <w:rFonts w:cs="Arial"/>
        </w:rPr>
        <w:t xml:space="preserve"> if</w:t>
      </w:r>
      <w:r w:rsidRPr="007A388B">
        <w:rPr>
          <w:rFonts w:cs="Arial"/>
        </w:rPr>
        <w:t xml:space="preserve"> the employer makes $300/month available via flex credits and the employee’s cost for single medical coverage is $500/month.</w:t>
      </w:r>
    </w:p>
    <w:p w14:paraId="27A28AAC" w14:textId="4CFC581D" w:rsidR="00915B9B" w:rsidRPr="007A388B" w:rsidRDefault="00085D10" w:rsidP="00915B9B">
      <w:pPr>
        <w:numPr>
          <w:ilvl w:val="1"/>
          <w:numId w:val="18"/>
        </w:numPr>
        <w:rPr>
          <w:rFonts w:cs="Arial"/>
          <w:szCs w:val="20"/>
        </w:rPr>
      </w:pPr>
      <w:r w:rsidRPr="007A388B">
        <w:rPr>
          <w:rFonts w:cs="Arial"/>
        </w:rPr>
        <w:lastRenderedPageBreak/>
        <w:t>If the flex credit may be used only toward the medical, dental or vision premiums, or contributed to a health FSA, the monthly employee contribution for affordability purposes is $200 ($500 - $300).</w:t>
      </w:r>
    </w:p>
    <w:p w14:paraId="21AEA75A" w14:textId="07CD3AB6" w:rsidR="009F128D" w:rsidRPr="007A388B" w:rsidRDefault="00085D10" w:rsidP="00B1435D">
      <w:pPr>
        <w:numPr>
          <w:ilvl w:val="1"/>
          <w:numId w:val="18"/>
        </w:numPr>
        <w:rPr>
          <w:rFonts w:cs="Arial"/>
          <w:szCs w:val="20"/>
        </w:rPr>
      </w:pPr>
      <w:r w:rsidRPr="007A388B">
        <w:rPr>
          <w:rFonts w:cs="Arial"/>
        </w:rPr>
        <w:t>However, if in addition to the options mentioned above</w:t>
      </w:r>
      <w:r w:rsidR="0097186D">
        <w:rPr>
          <w:rFonts w:cs="Arial"/>
        </w:rPr>
        <w:t>,</w:t>
      </w:r>
      <w:r w:rsidRPr="007A388B">
        <w:rPr>
          <w:rFonts w:cs="Arial"/>
        </w:rPr>
        <w:t xml:space="preserve"> the employee may use the $300 toward life, disability, DCAP or taken as cash, the monthly employee contribution for affordability purposes is $500.</w:t>
      </w:r>
      <w:r w:rsidR="009F128D" w:rsidRPr="007A388B">
        <w:rPr>
          <w:rFonts w:cs="Arial"/>
        </w:rPr>
        <w:t xml:space="preserve">  </w:t>
      </w:r>
    </w:p>
    <w:p w14:paraId="4456EA62" w14:textId="4766DA1F" w:rsidR="00915B9B" w:rsidRPr="007A388B" w:rsidRDefault="009F128D" w:rsidP="009F128D">
      <w:pPr>
        <w:numPr>
          <w:ilvl w:val="0"/>
          <w:numId w:val="6"/>
        </w:numPr>
        <w:rPr>
          <w:rFonts w:cs="Arial"/>
          <w:szCs w:val="20"/>
        </w:rPr>
      </w:pPr>
      <w:r w:rsidRPr="007A388B">
        <w:rPr>
          <w:rFonts w:cs="Arial"/>
          <w:u w:val="single"/>
        </w:rPr>
        <w:t>Opt-Out Credits and Incentives</w:t>
      </w:r>
      <w:r w:rsidRPr="007A388B">
        <w:rPr>
          <w:rFonts w:cs="Arial"/>
        </w:rPr>
        <w:t xml:space="preserve"> – If the employee has the option to either receive </w:t>
      </w:r>
      <w:r w:rsidR="00915B9B" w:rsidRPr="007A388B">
        <w:rPr>
          <w:rFonts w:cs="Arial"/>
        </w:rPr>
        <w:t xml:space="preserve">medical </w:t>
      </w:r>
      <w:r w:rsidRPr="007A388B">
        <w:rPr>
          <w:rFonts w:cs="Arial"/>
        </w:rPr>
        <w:t xml:space="preserve">coverage or receive an amount as taxable cash (an opt-out or waiver incentive), this cash option may need to be considered for purposes of affordability. </w:t>
      </w:r>
      <w:r w:rsidR="001B4580" w:rsidRPr="007A388B">
        <w:rPr>
          <w:rFonts w:cs="Arial"/>
        </w:rPr>
        <w:t>If the credit is available to any employee who waives coverage (i.e.</w:t>
      </w:r>
      <w:r w:rsidR="001B4580">
        <w:rPr>
          <w:rFonts w:cs="Arial"/>
        </w:rPr>
        <w:t>,</w:t>
      </w:r>
      <w:r w:rsidR="001B4580" w:rsidRPr="007A388B">
        <w:rPr>
          <w:rFonts w:cs="Arial"/>
        </w:rPr>
        <w:t xml:space="preserve"> an unconditional opt-out), the opt-out incentive should be used in calculating affordability for all eligible employees.</w:t>
      </w:r>
      <w:r w:rsidR="001B4580" w:rsidRPr="001B4580">
        <w:rPr>
          <w:rFonts w:cs="Arial"/>
          <w:szCs w:val="20"/>
        </w:rPr>
        <w:t xml:space="preserve"> </w:t>
      </w:r>
      <w:r w:rsidR="001B4580" w:rsidRPr="007A388B">
        <w:rPr>
          <w:rFonts w:cs="Arial"/>
          <w:szCs w:val="20"/>
        </w:rPr>
        <w:t xml:space="preserve">If the opt-out credit is limited only to employees who show proof of other </w:t>
      </w:r>
      <w:r w:rsidR="001B4580">
        <w:rPr>
          <w:rFonts w:cs="Arial"/>
          <w:szCs w:val="20"/>
        </w:rPr>
        <w:t>non-individual health</w:t>
      </w:r>
      <w:r w:rsidR="001B4580" w:rsidRPr="007A388B">
        <w:rPr>
          <w:rFonts w:cs="Arial"/>
          <w:szCs w:val="20"/>
        </w:rPr>
        <w:t xml:space="preserve"> insurance</w:t>
      </w:r>
      <w:r w:rsidR="001B4580">
        <w:rPr>
          <w:rFonts w:cs="Arial"/>
          <w:szCs w:val="20"/>
        </w:rPr>
        <w:t xml:space="preserve"> and </w:t>
      </w:r>
      <w:r w:rsidR="009F2E01">
        <w:rPr>
          <w:rFonts w:cs="Arial"/>
          <w:szCs w:val="20"/>
        </w:rPr>
        <w:t xml:space="preserve">who </w:t>
      </w:r>
      <w:r w:rsidR="001B4580">
        <w:rPr>
          <w:rFonts w:cs="Arial"/>
          <w:szCs w:val="20"/>
        </w:rPr>
        <w:t>also attest to all family members having minimum essential coverage</w:t>
      </w:r>
      <w:r w:rsidR="001B4580" w:rsidRPr="007A388B">
        <w:rPr>
          <w:rFonts w:cs="Arial"/>
          <w:szCs w:val="20"/>
        </w:rPr>
        <w:t xml:space="preserve"> (i.e.</w:t>
      </w:r>
      <w:r w:rsidR="001B4580">
        <w:rPr>
          <w:rFonts w:cs="Arial"/>
          <w:szCs w:val="20"/>
        </w:rPr>
        <w:t>,</w:t>
      </w:r>
      <w:r w:rsidR="001B4580" w:rsidRPr="007A388B">
        <w:rPr>
          <w:rFonts w:cs="Arial"/>
          <w:szCs w:val="20"/>
        </w:rPr>
        <w:t xml:space="preserve"> </w:t>
      </w:r>
      <w:r w:rsidR="009F2E01">
        <w:rPr>
          <w:rFonts w:cs="Arial"/>
          <w:szCs w:val="20"/>
        </w:rPr>
        <w:t xml:space="preserve">an </w:t>
      </w:r>
      <w:r w:rsidR="001B4580">
        <w:rPr>
          <w:rFonts w:cs="Arial"/>
          <w:szCs w:val="20"/>
        </w:rPr>
        <w:t>“eligible opt-out arrangement”</w:t>
      </w:r>
      <w:r w:rsidR="001B4580" w:rsidRPr="007A388B">
        <w:rPr>
          <w:rFonts w:cs="Arial"/>
          <w:szCs w:val="20"/>
        </w:rPr>
        <w:t>), then the credit would not be considered for any employees</w:t>
      </w:r>
      <w:r w:rsidR="001B4580">
        <w:rPr>
          <w:rFonts w:cs="Arial"/>
          <w:szCs w:val="20"/>
        </w:rPr>
        <w:t>,</w:t>
      </w:r>
      <w:r w:rsidR="001B4580" w:rsidRPr="007A388B">
        <w:rPr>
          <w:rFonts w:cs="Arial"/>
          <w:szCs w:val="20"/>
        </w:rPr>
        <w:t xml:space="preserve"> whether they enroll in the employer’s plan or receive the opt-out credit.</w:t>
      </w:r>
      <w:r w:rsidR="00D17EB2">
        <w:rPr>
          <w:rFonts w:cs="Arial"/>
          <w:szCs w:val="20"/>
        </w:rPr>
        <w:t xml:space="preserve"> For example:</w:t>
      </w:r>
    </w:p>
    <w:p w14:paraId="556A7E67" w14:textId="61A0835E" w:rsidR="00915B9B" w:rsidRPr="007A388B" w:rsidRDefault="00D17EB2" w:rsidP="00B1435D">
      <w:pPr>
        <w:numPr>
          <w:ilvl w:val="1"/>
          <w:numId w:val="19"/>
        </w:numPr>
        <w:rPr>
          <w:rFonts w:cs="Arial"/>
          <w:szCs w:val="20"/>
        </w:rPr>
      </w:pPr>
      <w:r>
        <w:rPr>
          <w:rFonts w:cs="Arial"/>
        </w:rPr>
        <w:t>If</w:t>
      </w:r>
      <w:r w:rsidR="009F128D" w:rsidRPr="007A388B">
        <w:rPr>
          <w:rFonts w:cs="Arial"/>
        </w:rPr>
        <w:t xml:space="preserve"> the employee cost for health coverage is $</w:t>
      </w:r>
      <w:r w:rsidR="00A14728">
        <w:rPr>
          <w:rFonts w:cs="Arial"/>
        </w:rPr>
        <w:t>125</w:t>
      </w:r>
      <w:r w:rsidR="00EC7F7C">
        <w:rPr>
          <w:rFonts w:cs="Arial"/>
        </w:rPr>
        <w:t>/</w:t>
      </w:r>
      <w:r w:rsidR="009F128D" w:rsidRPr="007A388B">
        <w:rPr>
          <w:rFonts w:cs="Arial"/>
        </w:rPr>
        <w:t>month, but there is an opt-out credit of $50</w:t>
      </w:r>
      <w:r w:rsidR="00EC7F7C">
        <w:rPr>
          <w:rFonts w:cs="Arial"/>
        </w:rPr>
        <w:t>/</w:t>
      </w:r>
      <w:r w:rsidR="009F128D" w:rsidRPr="007A388B">
        <w:rPr>
          <w:rFonts w:cs="Arial"/>
        </w:rPr>
        <w:t xml:space="preserve">month </w:t>
      </w:r>
      <w:r w:rsidR="00915B9B" w:rsidRPr="007A388B">
        <w:rPr>
          <w:rFonts w:cs="Arial"/>
        </w:rPr>
        <w:t>for any employee who waives coverage</w:t>
      </w:r>
      <w:r w:rsidR="009F128D" w:rsidRPr="007A388B">
        <w:rPr>
          <w:rFonts w:cs="Arial"/>
        </w:rPr>
        <w:t>, the employee contribution for affordability purposes is $1</w:t>
      </w:r>
      <w:r w:rsidR="00A14728">
        <w:rPr>
          <w:rFonts w:cs="Arial"/>
        </w:rPr>
        <w:t>7</w:t>
      </w:r>
      <w:r w:rsidR="009F128D" w:rsidRPr="007A388B">
        <w:rPr>
          <w:rFonts w:cs="Arial"/>
        </w:rPr>
        <w:t>5 ($</w:t>
      </w:r>
      <w:r w:rsidR="00A14728">
        <w:rPr>
          <w:rFonts w:cs="Arial"/>
        </w:rPr>
        <w:t>12</w:t>
      </w:r>
      <w:r w:rsidR="009F128D" w:rsidRPr="007A388B">
        <w:rPr>
          <w:rFonts w:cs="Arial"/>
        </w:rPr>
        <w:t xml:space="preserve">5 + $50). </w:t>
      </w:r>
      <w:r w:rsidR="00915B9B" w:rsidRPr="007A388B">
        <w:rPr>
          <w:rFonts w:cs="Arial"/>
          <w:i/>
          <w:iCs/>
        </w:rPr>
        <w:t>There is transition relief allowing employers to disregard the opt-out amount for opt-out arrangements in place prior to December 2015 and not substantially changed since that time.</w:t>
      </w:r>
    </w:p>
    <w:p w14:paraId="71801639" w14:textId="72C5EEA8" w:rsidR="00BE786E" w:rsidRPr="007A388B" w:rsidRDefault="00D17EB2" w:rsidP="00B1435D">
      <w:pPr>
        <w:numPr>
          <w:ilvl w:val="1"/>
          <w:numId w:val="19"/>
        </w:numPr>
        <w:rPr>
          <w:rFonts w:cs="Arial"/>
          <w:szCs w:val="20"/>
        </w:rPr>
      </w:pPr>
      <w:r>
        <w:rPr>
          <w:rFonts w:cs="Arial"/>
        </w:rPr>
        <w:t>If</w:t>
      </w:r>
      <w:r w:rsidR="009B501C" w:rsidRPr="007A388B">
        <w:rPr>
          <w:rFonts w:cs="Arial"/>
        </w:rPr>
        <w:t xml:space="preserve"> the employee cost for health coverage is $</w:t>
      </w:r>
      <w:r w:rsidR="002213CA">
        <w:rPr>
          <w:rFonts w:cs="Arial"/>
        </w:rPr>
        <w:t>12</w:t>
      </w:r>
      <w:r w:rsidR="009B501C" w:rsidRPr="007A388B">
        <w:rPr>
          <w:rFonts w:cs="Arial"/>
        </w:rPr>
        <w:t>5</w:t>
      </w:r>
      <w:r w:rsidR="00CA6013">
        <w:rPr>
          <w:rFonts w:cs="Arial"/>
        </w:rPr>
        <w:t>/</w:t>
      </w:r>
      <w:r w:rsidR="009B501C" w:rsidRPr="007A388B">
        <w:rPr>
          <w:rFonts w:cs="Arial"/>
        </w:rPr>
        <w:t>month, but there is an opt-out credit of $50</w:t>
      </w:r>
      <w:r w:rsidR="00CA6013">
        <w:rPr>
          <w:rFonts w:cs="Arial"/>
        </w:rPr>
        <w:t>/</w:t>
      </w:r>
      <w:r w:rsidR="009B501C" w:rsidRPr="007A388B">
        <w:rPr>
          <w:rFonts w:cs="Arial"/>
        </w:rPr>
        <w:t xml:space="preserve">month for any those employees who prove coverage </w:t>
      </w:r>
      <w:r w:rsidR="006B3E2A">
        <w:rPr>
          <w:rFonts w:cs="Arial"/>
        </w:rPr>
        <w:t xml:space="preserve">for themselves and family members </w:t>
      </w:r>
      <w:r w:rsidR="009B501C" w:rsidRPr="007A388B">
        <w:rPr>
          <w:rFonts w:cs="Arial"/>
        </w:rPr>
        <w:t>under another employer’s group health plan (e.g.</w:t>
      </w:r>
      <w:r w:rsidR="002213CA">
        <w:rPr>
          <w:rFonts w:cs="Arial"/>
        </w:rPr>
        <w:t>,</w:t>
      </w:r>
      <w:r w:rsidR="009B501C" w:rsidRPr="007A388B">
        <w:rPr>
          <w:rFonts w:cs="Arial"/>
        </w:rPr>
        <w:t xml:space="preserve"> through a spouse), the employee contribution for affordability purposes is $</w:t>
      </w:r>
      <w:r w:rsidR="002213CA">
        <w:rPr>
          <w:rFonts w:cs="Arial"/>
        </w:rPr>
        <w:t>12</w:t>
      </w:r>
      <w:r w:rsidR="009B501C" w:rsidRPr="007A388B">
        <w:rPr>
          <w:rFonts w:cs="Arial"/>
        </w:rPr>
        <w:t>5.</w:t>
      </w:r>
    </w:p>
    <w:p w14:paraId="59E17C9F" w14:textId="77777777" w:rsidR="009F128D" w:rsidRPr="007A388B" w:rsidRDefault="009F128D" w:rsidP="009F128D">
      <w:pPr>
        <w:numPr>
          <w:ilvl w:val="0"/>
          <w:numId w:val="6"/>
        </w:numPr>
        <w:rPr>
          <w:rFonts w:cs="Arial"/>
          <w:szCs w:val="20"/>
          <w:lang w:bidi="ar-SA"/>
        </w:rPr>
      </w:pPr>
      <w:r w:rsidRPr="007A388B">
        <w:rPr>
          <w:rFonts w:cs="Arial"/>
          <w:szCs w:val="20"/>
          <w:u w:val="single"/>
        </w:rPr>
        <w:t>Wellness Incentives</w:t>
      </w:r>
      <w:r w:rsidRPr="007A388B">
        <w:rPr>
          <w:rFonts w:cs="Arial"/>
          <w:szCs w:val="20"/>
        </w:rPr>
        <w:t xml:space="preserve"> – Affordability is determined assuming the individual fails to satisfy any wellness requirements, UNLESS it is tobacco-related. For example:</w:t>
      </w:r>
    </w:p>
    <w:p w14:paraId="3A76B99A" w14:textId="7C2B001E" w:rsidR="009F128D" w:rsidRPr="007A388B" w:rsidRDefault="00D17EB2" w:rsidP="00B1435D">
      <w:pPr>
        <w:pStyle w:val="ColorfulList-Accent11"/>
        <w:numPr>
          <w:ilvl w:val="0"/>
          <w:numId w:val="8"/>
        </w:numPr>
        <w:rPr>
          <w:rFonts w:ascii="Arial" w:hAnsi="Arial" w:cs="Arial"/>
          <w:sz w:val="20"/>
          <w:szCs w:val="20"/>
        </w:rPr>
      </w:pPr>
      <w:r>
        <w:rPr>
          <w:rFonts w:ascii="Arial" w:hAnsi="Arial" w:cs="Arial"/>
          <w:sz w:val="20"/>
          <w:szCs w:val="20"/>
        </w:rPr>
        <w:t>If the r</w:t>
      </w:r>
      <w:r w:rsidR="009F128D" w:rsidRPr="007A388B">
        <w:rPr>
          <w:rFonts w:ascii="Arial" w:hAnsi="Arial" w:cs="Arial"/>
          <w:sz w:val="20"/>
          <w:szCs w:val="20"/>
        </w:rPr>
        <w:t xml:space="preserve">equired employee contribution for the month is $200 and </w:t>
      </w:r>
      <w:r>
        <w:rPr>
          <w:rFonts w:ascii="Arial" w:hAnsi="Arial" w:cs="Arial"/>
          <w:sz w:val="20"/>
          <w:szCs w:val="20"/>
        </w:rPr>
        <w:t xml:space="preserve">the </w:t>
      </w:r>
      <w:r w:rsidR="009F128D" w:rsidRPr="007A388B">
        <w:rPr>
          <w:rFonts w:ascii="Arial" w:hAnsi="Arial" w:cs="Arial"/>
          <w:sz w:val="20"/>
          <w:szCs w:val="20"/>
        </w:rPr>
        <w:t xml:space="preserve">potential wellness incentive (not tobacco-related) reduces </w:t>
      </w:r>
      <w:r>
        <w:rPr>
          <w:rFonts w:ascii="Arial" w:hAnsi="Arial" w:cs="Arial"/>
          <w:sz w:val="20"/>
          <w:szCs w:val="20"/>
        </w:rPr>
        <w:t xml:space="preserve">the </w:t>
      </w:r>
      <w:r w:rsidR="009F128D" w:rsidRPr="007A388B">
        <w:rPr>
          <w:rFonts w:ascii="Arial" w:hAnsi="Arial" w:cs="Arial"/>
          <w:sz w:val="20"/>
          <w:szCs w:val="20"/>
        </w:rPr>
        <w:t xml:space="preserve">cost to $150; </w:t>
      </w:r>
      <w:r w:rsidR="009F128D" w:rsidRPr="007A388B">
        <w:rPr>
          <w:rFonts w:ascii="Arial" w:hAnsi="Arial" w:cs="Arial"/>
          <w:i/>
          <w:iCs/>
          <w:sz w:val="20"/>
          <w:szCs w:val="20"/>
        </w:rPr>
        <w:t>coverage is “affordable” so long as $200 (not $150) does not exceed 9.</w:t>
      </w:r>
      <w:r w:rsidR="00E075E7">
        <w:rPr>
          <w:rFonts w:ascii="Arial" w:hAnsi="Arial" w:cs="Arial"/>
          <w:i/>
          <w:iCs/>
          <w:sz w:val="20"/>
          <w:szCs w:val="20"/>
        </w:rPr>
        <w:t>61</w:t>
      </w:r>
      <w:r w:rsidR="009F128D" w:rsidRPr="007A388B">
        <w:rPr>
          <w:rFonts w:ascii="Arial" w:hAnsi="Arial" w:cs="Arial"/>
          <w:i/>
          <w:iCs/>
          <w:sz w:val="20"/>
          <w:szCs w:val="20"/>
        </w:rPr>
        <w:t>%</w:t>
      </w:r>
      <w:r w:rsidR="00CA6013">
        <w:rPr>
          <w:rFonts w:ascii="Arial" w:hAnsi="Arial" w:cs="Arial"/>
          <w:i/>
          <w:iCs/>
          <w:sz w:val="20"/>
          <w:szCs w:val="20"/>
        </w:rPr>
        <w:t xml:space="preserve"> (in 202</w:t>
      </w:r>
      <w:r w:rsidR="00E075E7">
        <w:rPr>
          <w:rFonts w:ascii="Arial" w:hAnsi="Arial" w:cs="Arial"/>
          <w:i/>
          <w:iCs/>
          <w:sz w:val="20"/>
          <w:szCs w:val="20"/>
        </w:rPr>
        <w:t>2</w:t>
      </w:r>
      <w:r w:rsidR="00CA6013">
        <w:rPr>
          <w:rFonts w:ascii="Arial" w:hAnsi="Arial" w:cs="Arial"/>
          <w:i/>
          <w:iCs/>
          <w:sz w:val="20"/>
          <w:szCs w:val="20"/>
        </w:rPr>
        <w:t xml:space="preserve">) </w:t>
      </w:r>
      <w:r w:rsidR="009F128D" w:rsidRPr="007A388B">
        <w:rPr>
          <w:rFonts w:ascii="Arial" w:hAnsi="Arial" w:cs="Arial"/>
          <w:i/>
          <w:iCs/>
          <w:sz w:val="20"/>
          <w:szCs w:val="20"/>
        </w:rPr>
        <w:t>of the employee’s household income.</w:t>
      </w:r>
    </w:p>
    <w:p w14:paraId="77BB1A9D" w14:textId="4EEF3660" w:rsidR="009F128D" w:rsidRPr="007A388B" w:rsidRDefault="00E075E7" w:rsidP="00B1435D">
      <w:pPr>
        <w:pStyle w:val="ColorfulList-Accent11"/>
        <w:numPr>
          <w:ilvl w:val="0"/>
          <w:numId w:val="8"/>
        </w:numPr>
        <w:rPr>
          <w:rFonts w:ascii="Arial" w:hAnsi="Arial" w:cs="Arial"/>
          <w:sz w:val="20"/>
          <w:szCs w:val="20"/>
        </w:rPr>
      </w:pPr>
      <w:r>
        <w:rPr>
          <w:rFonts w:ascii="Arial" w:hAnsi="Arial" w:cs="Arial"/>
          <w:sz w:val="20"/>
          <w:szCs w:val="20"/>
        </w:rPr>
        <w:t>If the r</w:t>
      </w:r>
      <w:r w:rsidR="009F128D" w:rsidRPr="007A388B">
        <w:rPr>
          <w:rFonts w:ascii="Arial" w:hAnsi="Arial" w:cs="Arial"/>
          <w:sz w:val="20"/>
          <w:szCs w:val="20"/>
        </w:rPr>
        <w:t xml:space="preserve">equired employee contribution for the </w:t>
      </w:r>
      <w:r w:rsidR="0079475D" w:rsidRPr="007A388B">
        <w:rPr>
          <w:rFonts w:ascii="Arial" w:hAnsi="Arial" w:cs="Arial"/>
          <w:sz w:val="20"/>
          <w:szCs w:val="20"/>
        </w:rPr>
        <w:t xml:space="preserve">month </w:t>
      </w:r>
      <w:r w:rsidR="009F128D" w:rsidRPr="007A388B">
        <w:rPr>
          <w:rFonts w:ascii="Arial" w:hAnsi="Arial" w:cs="Arial"/>
          <w:sz w:val="20"/>
          <w:szCs w:val="20"/>
        </w:rPr>
        <w:t xml:space="preserve">is $200 and </w:t>
      </w:r>
      <w:r>
        <w:rPr>
          <w:rFonts w:ascii="Arial" w:hAnsi="Arial" w:cs="Arial"/>
          <w:sz w:val="20"/>
          <w:szCs w:val="20"/>
        </w:rPr>
        <w:t xml:space="preserve">the </w:t>
      </w:r>
      <w:r w:rsidR="009F128D" w:rsidRPr="007A388B">
        <w:rPr>
          <w:rFonts w:ascii="Arial" w:hAnsi="Arial" w:cs="Arial"/>
          <w:sz w:val="20"/>
          <w:szCs w:val="20"/>
        </w:rPr>
        <w:t xml:space="preserve">potential wellness incentive (tobacco-related) reduces </w:t>
      </w:r>
      <w:r>
        <w:rPr>
          <w:rFonts w:ascii="Arial" w:hAnsi="Arial" w:cs="Arial"/>
          <w:sz w:val="20"/>
          <w:szCs w:val="20"/>
        </w:rPr>
        <w:t xml:space="preserve">the </w:t>
      </w:r>
      <w:r w:rsidR="009F128D" w:rsidRPr="007A388B">
        <w:rPr>
          <w:rFonts w:ascii="Arial" w:hAnsi="Arial" w:cs="Arial"/>
          <w:sz w:val="20"/>
          <w:szCs w:val="20"/>
        </w:rPr>
        <w:t xml:space="preserve">cost to $130; </w:t>
      </w:r>
      <w:r w:rsidR="009F128D" w:rsidRPr="007A388B">
        <w:rPr>
          <w:rFonts w:ascii="Arial" w:hAnsi="Arial" w:cs="Arial"/>
          <w:i/>
          <w:iCs/>
          <w:sz w:val="20"/>
          <w:szCs w:val="20"/>
        </w:rPr>
        <w:t>coverage is “affordable” so long as $130 (not $200) does not exceed 9.</w:t>
      </w:r>
      <w:r>
        <w:rPr>
          <w:rFonts w:ascii="Arial" w:hAnsi="Arial" w:cs="Arial"/>
          <w:i/>
          <w:iCs/>
          <w:sz w:val="20"/>
          <w:szCs w:val="20"/>
        </w:rPr>
        <w:t>61</w:t>
      </w:r>
      <w:r w:rsidR="009F128D" w:rsidRPr="007A388B">
        <w:rPr>
          <w:rFonts w:ascii="Arial" w:hAnsi="Arial" w:cs="Arial"/>
          <w:i/>
          <w:iCs/>
          <w:sz w:val="20"/>
          <w:szCs w:val="20"/>
        </w:rPr>
        <w:t>%</w:t>
      </w:r>
      <w:r w:rsidR="00CA6013">
        <w:rPr>
          <w:rFonts w:ascii="Arial" w:hAnsi="Arial" w:cs="Arial"/>
          <w:i/>
          <w:iCs/>
          <w:sz w:val="20"/>
          <w:szCs w:val="20"/>
        </w:rPr>
        <w:t xml:space="preserve"> (in 202</w:t>
      </w:r>
      <w:r>
        <w:rPr>
          <w:rFonts w:ascii="Arial" w:hAnsi="Arial" w:cs="Arial"/>
          <w:i/>
          <w:iCs/>
          <w:sz w:val="20"/>
          <w:szCs w:val="20"/>
        </w:rPr>
        <w:t>2</w:t>
      </w:r>
      <w:r w:rsidR="00CA6013">
        <w:rPr>
          <w:rFonts w:ascii="Arial" w:hAnsi="Arial" w:cs="Arial"/>
          <w:i/>
          <w:iCs/>
          <w:sz w:val="20"/>
          <w:szCs w:val="20"/>
        </w:rPr>
        <w:t>)</w:t>
      </w:r>
      <w:r w:rsidR="009F128D" w:rsidRPr="007A388B">
        <w:rPr>
          <w:rFonts w:ascii="Arial" w:hAnsi="Arial" w:cs="Arial"/>
          <w:i/>
          <w:iCs/>
          <w:sz w:val="20"/>
          <w:szCs w:val="20"/>
        </w:rPr>
        <w:t xml:space="preserve"> of the employee’s household income.</w:t>
      </w:r>
    </w:p>
    <w:p w14:paraId="5FF8F8C9" w14:textId="77777777" w:rsidR="009F128D" w:rsidRPr="007A388B" w:rsidRDefault="009F128D" w:rsidP="009F128D">
      <w:pPr>
        <w:ind w:left="0"/>
        <w:rPr>
          <w:rFonts w:cs="Arial"/>
          <w:b/>
        </w:rPr>
      </w:pPr>
    </w:p>
    <w:p w14:paraId="6D6D2BAE" w14:textId="77777777" w:rsidR="009F128D" w:rsidRPr="007A388B" w:rsidRDefault="009F128D" w:rsidP="009F128D">
      <w:pPr>
        <w:ind w:left="0"/>
        <w:rPr>
          <w:rFonts w:cs="Arial"/>
          <w:b/>
        </w:rPr>
      </w:pPr>
      <w:r w:rsidRPr="007A388B">
        <w:rPr>
          <w:rFonts w:cs="Arial"/>
          <w:b/>
        </w:rPr>
        <w:t>Setting Employer Contributions</w:t>
      </w:r>
    </w:p>
    <w:p w14:paraId="1031AB4C" w14:textId="5D9E1BFE" w:rsidR="009B501C" w:rsidRDefault="009F128D" w:rsidP="009F128D">
      <w:pPr>
        <w:ind w:left="0"/>
        <w:rPr>
          <w:rFonts w:cs="Arial"/>
        </w:rPr>
      </w:pPr>
      <w:r w:rsidRPr="007A388B">
        <w:rPr>
          <w:rFonts w:cs="Arial"/>
        </w:rPr>
        <w:t xml:space="preserve">It is not always financially advantageous to the employer to ensure that the coverage offered is affordable to ALL full-time employees. Employers should consider the </w:t>
      </w:r>
      <w:r w:rsidR="00CA6013" w:rsidRPr="007A388B">
        <w:rPr>
          <w:rFonts w:cs="Arial"/>
          <w:szCs w:val="20"/>
        </w:rPr>
        <w:t>§4980H</w:t>
      </w:r>
      <w:r w:rsidR="00CA6013">
        <w:rPr>
          <w:rFonts w:cs="Arial"/>
        </w:rPr>
        <w:t>(b) penalty of approximately $3</w:t>
      </w:r>
      <w:r w:rsidR="00E075E7">
        <w:rPr>
          <w:rFonts w:cs="Arial"/>
        </w:rPr>
        <w:t>40</w:t>
      </w:r>
      <w:r w:rsidRPr="007A388B">
        <w:rPr>
          <w:rFonts w:cs="Arial"/>
        </w:rPr>
        <w:t>/month</w:t>
      </w:r>
      <w:r w:rsidR="001021F4" w:rsidRPr="007A388B">
        <w:rPr>
          <w:rFonts w:cs="Arial"/>
        </w:rPr>
        <w:t xml:space="preserve"> </w:t>
      </w:r>
      <w:r w:rsidRPr="007A388B">
        <w:rPr>
          <w:rFonts w:cs="Arial"/>
        </w:rPr>
        <w:t xml:space="preserve">for a full-time employee receiving a subsidy. </w:t>
      </w:r>
      <w:r w:rsidR="009B501C" w:rsidRPr="007A388B">
        <w:rPr>
          <w:rFonts w:cs="Arial"/>
        </w:rPr>
        <w:t>T</w:t>
      </w:r>
      <w:r w:rsidRPr="007A388B">
        <w:rPr>
          <w:rFonts w:cs="Arial"/>
        </w:rPr>
        <w:t xml:space="preserve">he employer contribution for employees who enroll in the employer’s plan </w:t>
      </w:r>
      <w:r w:rsidR="009B501C" w:rsidRPr="007A388B">
        <w:rPr>
          <w:rFonts w:cs="Arial"/>
        </w:rPr>
        <w:t>may be more</w:t>
      </w:r>
      <w:r w:rsidRPr="007A388B">
        <w:rPr>
          <w:rFonts w:cs="Arial"/>
        </w:rPr>
        <w:t xml:space="preserve"> than the employer would be required to pay as a penalty under</w:t>
      </w:r>
      <w:r w:rsidR="009B501C" w:rsidRPr="007A388B">
        <w:rPr>
          <w:rFonts w:cs="Arial"/>
        </w:rPr>
        <w:t xml:space="preserve"> §</w:t>
      </w:r>
      <w:r w:rsidRPr="007A388B">
        <w:rPr>
          <w:rFonts w:cs="Arial"/>
        </w:rPr>
        <w:t>4980H(b). </w:t>
      </w:r>
    </w:p>
    <w:p w14:paraId="5C854A77" w14:textId="77777777" w:rsidR="00CA6013" w:rsidRPr="007A388B" w:rsidRDefault="00CA6013" w:rsidP="009F128D">
      <w:pPr>
        <w:ind w:left="0"/>
        <w:rPr>
          <w:rFonts w:cs="Arial"/>
        </w:rPr>
      </w:pPr>
    </w:p>
    <w:p w14:paraId="0086987E" w14:textId="2CA06D68" w:rsidR="009F128D" w:rsidRPr="007A388B" w:rsidRDefault="009F128D" w:rsidP="009F128D">
      <w:pPr>
        <w:ind w:left="0"/>
        <w:rPr>
          <w:rFonts w:cs="Arial"/>
        </w:rPr>
      </w:pPr>
      <w:r w:rsidRPr="007A388B">
        <w:rPr>
          <w:rFonts w:cs="Arial"/>
        </w:rPr>
        <w:t xml:space="preserve">Furthermore, the </w:t>
      </w:r>
      <w:r w:rsidR="009B501C" w:rsidRPr="007A388B">
        <w:rPr>
          <w:rFonts w:cs="Arial"/>
        </w:rPr>
        <w:t>§</w:t>
      </w:r>
      <w:r w:rsidRPr="007A388B">
        <w:rPr>
          <w:rFonts w:cs="Arial"/>
        </w:rPr>
        <w:t>4980H(b) penalty applies only for those full-time employees who</w:t>
      </w:r>
      <w:r w:rsidR="00E91FF5" w:rsidRPr="007A388B">
        <w:rPr>
          <w:rFonts w:cs="Arial"/>
        </w:rPr>
        <w:t xml:space="preserve"> waive employer-sponsored coverage </w:t>
      </w:r>
      <w:r w:rsidR="009B501C" w:rsidRPr="007A388B">
        <w:rPr>
          <w:rFonts w:cs="Arial"/>
        </w:rPr>
        <w:t>AND</w:t>
      </w:r>
      <w:r w:rsidRPr="007A388B">
        <w:rPr>
          <w:rFonts w:cs="Arial"/>
        </w:rPr>
        <w:t xml:space="preserve"> </w:t>
      </w:r>
      <w:r w:rsidR="009B501C" w:rsidRPr="007A388B">
        <w:rPr>
          <w:rFonts w:cs="Arial"/>
        </w:rPr>
        <w:t>enroll in subsidized coverage</w:t>
      </w:r>
      <w:r w:rsidR="007E4ADD" w:rsidRPr="007A388B">
        <w:rPr>
          <w:rFonts w:cs="Arial"/>
        </w:rPr>
        <w:t xml:space="preserve"> through a public </w:t>
      </w:r>
      <w:r w:rsidR="009B501C" w:rsidRPr="007A388B">
        <w:rPr>
          <w:rFonts w:cs="Arial"/>
        </w:rPr>
        <w:t>E</w:t>
      </w:r>
      <w:r w:rsidRPr="007A388B">
        <w:rPr>
          <w:rFonts w:cs="Arial"/>
        </w:rPr>
        <w:t xml:space="preserve">xchange </w:t>
      </w:r>
      <w:r w:rsidR="009B501C" w:rsidRPr="007A388B">
        <w:rPr>
          <w:rFonts w:cs="Arial"/>
        </w:rPr>
        <w:t>(</w:t>
      </w:r>
      <w:r w:rsidRPr="007A388B">
        <w:rPr>
          <w:rFonts w:cs="Arial"/>
        </w:rPr>
        <w:t xml:space="preserve">qualify for a </w:t>
      </w:r>
      <w:r w:rsidR="00D22DE9">
        <w:rPr>
          <w:rFonts w:cs="Arial"/>
        </w:rPr>
        <w:t xml:space="preserve">premium </w:t>
      </w:r>
      <w:r w:rsidRPr="007A388B">
        <w:rPr>
          <w:rFonts w:cs="Arial"/>
        </w:rPr>
        <w:t xml:space="preserve">tax </w:t>
      </w:r>
      <w:r w:rsidR="00D22DE9">
        <w:rPr>
          <w:rFonts w:cs="Arial"/>
        </w:rPr>
        <w:t>credit</w:t>
      </w:r>
      <w:r w:rsidR="009B501C" w:rsidRPr="007A388B">
        <w:rPr>
          <w:rFonts w:cs="Arial"/>
        </w:rPr>
        <w:t>)</w:t>
      </w:r>
      <w:r w:rsidRPr="007A388B">
        <w:rPr>
          <w:rFonts w:cs="Arial"/>
        </w:rPr>
        <w:t>.</w:t>
      </w:r>
      <w:r w:rsidR="00E91FF5" w:rsidRPr="007A388B">
        <w:rPr>
          <w:rFonts w:cs="Arial"/>
        </w:rPr>
        <w:t xml:space="preserve"> Therefore, if an employee voluntarily enrolls in unaffordable employer-sponsored coverage</w:t>
      </w:r>
      <w:r w:rsidR="009B501C" w:rsidRPr="007A388B">
        <w:rPr>
          <w:rFonts w:cs="Arial"/>
        </w:rPr>
        <w:t xml:space="preserve"> or does not qualify for a tax subsidy toward coverage through a public Exchange after waiving the employer’s coverage,</w:t>
      </w:r>
      <w:r w:rsidR="00E91FF5" w:rsidRPr="007A388B">
        <w:rPr>
          <w:rFonts w:cs="Arial"/>
        </w:rPr>
        <w:t xml:space="preserve"> the employer will not face a penalty.</w:t>
      </w:r>
      <w:r w:rsidR="00CA6013">
        <w:rPr>
          <w:rFonts w:cs="Arial"/>
        </w:rPr>
        <w:t xml:space="preserve"> Keep in mind, employees who are eligible for Medicare or Medicaid will not qualify for a tax subsidy.</w:t>
      </w:r>
    </w:p>
    <w:p w14:paraId="4694C468" w14:textId="77777777" w:rsidR="009F128D" w:rsidRPr="007A388B" w:rsidRDefault="009F128D" w:rsidP="009F128D">
      <w:pPr>
        <w:ind w:left="0"/>
        <w:rPr>
          <w:rFonts w:cs="Arial"/>
        </w:rPr>
      </w:pPr>
    </w:p>
    <w:p w14:paraId="543FB12F" w14:textId="6393AA2D" w:rsidR="009F128D" w:rsidRPr="007A388B" w:rsidRDefault="009F128D" w:rsidP="009F128D">
      <w:pPr>
        <w:ind w:left="0"/>
        <w:rPr>
          <w:rFonts w:cs="Arial"/>
          <w:szCs w:val="20"/>
          <w:lang w:bidi="ar-SA"/>
        </w:rPr>
      </w:pPr>
      <w:r w:rsidRPr="007A388B">
        <w:rPr>
          <w:rFonts w:cs="Arial"/>
          <w:szCs w:val="20"/>
        </w:rPr>
        <w:t xml:space="preserve">Additionally, it is important to understand that there is nothing under </w:t>
      </w:r>
      <w:r w:rsidR="009B501C" w:rsidRPr="007A388B">
        <w:rPr>
          <w:rFonts w:cs="Arial"/>
          <w:szCs w:val="20"/>
        </w:rPr>
        <w:t>§</w:t>
      </w:r>
      <w:r w:rsidRPr="007A388B">
        <w:rPr>
          <w:rFonts w:cs="Arial"/>
          <w:szCs w:val="20"/>
        </w:rPr>
        <w:t xml:space="preserve">4980H rules that requires a uniform contribution rate across all categories of employees; rather, affordability is considered on an employee-by-employee basis. </w:t>
      </w:r>
      <w:r w:rsidR="00CA6013">
        <w:rPr>
          <w:rFonts w:cs="Arial"/>
          <w:szCs w:val="20"/>
        </w:rPr>
        <w:t>T</w:t>
      </w:r>
      <w:r w:rsidRPr="007A388B">
        <w:rPr>
          <w:rFonts w:cs="Arial"/>
          <w:szCs w:val="20"/>
        </w:rPr>
        <w:t xml:space="preserve">he employer could choose to contribute differently to different categories of employees </w:t>
      </w:r>
      <w:r w:rsidR="009B0C75">
        <w:rPr>
          <w:rFonts w:cs="Arial"/>
          <w:szCs w:val="20"/>
        </w:rPr>
        <w:t>or based on</w:t>
      </w:r>
      <w:r w:rsidRPr="007A388B">
        <w:rPr>
          <w:rFonts w:cs="Arial"/>
          <w:szCs w:val="20"/>
        </w:rPr>
        <w:t xml:space="preserve"> a percentage of salary. However, anytime the employer sets different contribution rates for different categories of employees, nondiscrimination rules, which </w:t>
      </w:r>
      <w:r w:rsidR="009B0C75">
        <w:rPr>
          <w:rFonts w:cs="Arial"/>
          <w:szCs w:val="20"/>
        </w:rPr>
        <w:t>restrict the ability to offer</w:t>
      </w:r>
      <w:r w:rsidRPr="007A388B">
        <w:rPr>
          <w:rFonts w:cs="Arial"/>
          <w:szCs w:val="20"/>
        </w:rPr>
        <w:t xml:space="preserve"> favor highly compensated individuals</w:t>
      </w:r>
      <w:r w:rsidR="009B0C75">
        <w:rPr>
          <w:rFonts w:cs="Arial"/>
          <w:szCs w:val="20"/>
        </w:rPr>
        <w:t xml:space="preserve"> on a tax-favored basis</w:t>
      </w:r>
      <w:r w:rsidRPr="007A388B">
        <w:rPr>
          <w:rFonts w:cs="Arial"/>
          <w:szCs w:val="20"/>
        </w:rPr>
        <w:t>, must be considered.</w:t>
      </w:r>
    </w:p>
    <w:p w14:paraId="2A7D307E" w14:textId="77777777" w:rsidR="009F128D" w:rsidRPr="007A388B" w:rsidRDefault="009F128D" w:rsidP="009F128D">
      <w:pPr>
        <w:ind w:left="0"/>
        <w:rPr>
          <w:rFonts w:cs="Arial"/>
          <w:lang w:bidi="ar-SA"/>
        </w:rPr>
      </w:pPr>
    </w:p>
    <w:p w14:paraId="48354422" w14:textId="77777777" w:rsidR="001A1A3D" w:rsidRDefault="001A1A3D" w:rsidP="009F128D">
      <w:pPr>
        <w:ind w:left="0"/>
        <w:rPr>
          <w:rFonts w:cs="Arial"/>
          <w:b/>
          <w:szCs w:val="20"/>
        </w:rPr>
      </w:pPr>
    </w:p>
    <w:p w14:paraId="1FBA1224" w14:textId="52635809" w:rsidR="009F128D" w:rsidRPr="007A388B" w:rsidRDefault="009F128D" w:rsidP="009F128D">
      <w:pPr>
        <w:ind w:left="0"/>
        <w:rPr>
          <w:rFonts w:cs="Arial"/>
          <w:b/>
          <w:szCs w:val="20"/>
        </w:rPr>
      </w:pPr>
      <w:r w:rsidRPr="007A388B">
        <w:rPr>
          <w:rFonts w:cs="Arial"/>
          <w:b/>
          <w:szCs w:val="20"/>
        </w:rPr>
        <w:lastRenderedPageBreak/>
        <w:t>Summary</w:t>
      </w:r>
    </w:p>
    <w:p w14:paraId="4056A3AE" w14:textId="2C64EF7D" w:rsidR="009F128D" w:rsidRPr="007A388B" w:rsidRDefault="009F128D" w:rsidP="009F128D">
      <w:pPr>
        <w:ind w:left="0"/>
        <w:rPr>
          <w:rFonts w:cs="Arial"/>
        </w:rPr>
      </w:pPr>
      <w:r w:rsidRPr="007A388B">
        <w:rPr>
          <w:rFonts w:cs="Arial"/>
        </w:rPr>
        <w:t xml:space="preserve">When applicable large employers set employer contributions for health coverage, there are many variables that may affect the strategy chosen. The IRS has simplified things a bit by allowing employers to use one of three employer affordability safe harbors as opposed to having to guess at an employee’s household income. Employers also need to consider </w:t>
      </w:r>
      <w:r w:rsidR="009B501C" w:rsidRPr="007A388B">
        <w:rPr>
          <w:rFonts w:cs="Arial"/>
        </w:rPr>
        <w:t>how</w:t>
      </w:r>
      <w:r w:rsidRPr="007A388B">
        <w:rPr>
          <w:rFonts w:cs="Arial"/>
        </w:rPr>
        <w:t xml:space="preserve"> other benefits and incentives offered may affect the employee contribution amount for purposes of calculating affordability. </w:t>
      </w:r>
      <w:r w:rsidR="009B501C" w:rsidRPr="007A388B">
        <w:rPr>
          <w:rFonts w:cs="Arial"/>
        </w:rPr>
        <w:t>F</w:t>
      </w:r>
      <w:r w:rsidRPr="007A388B">
        <w:rPr>
          <w:rFonts w:cs="Arial"/>
        </w:rPr>
        <w:t xml:space="preserve">inally, it is important to weigh the risk of a potential penalty under </w:t>
      </w:r>
      <w:r w:rsidR="009B501C" w:rsidRPr="007A388B">
        <w:rPr>
          <w:rFonts w:cs="Arial"/>
        </w:rPr>
        <w:t>§</w:t>
      </w:r>
      <w:r w:rsidRPr="007A388B">
        <w:rPr>
          <w:rFonts w:cs="Arial"/>
        </w:rPr>
        <w:t xml:space="preserve">4980H(b) for some employees versus choosing to set the employer contribution at a higher rate </w:t>
      </w:r>
      <w:r w:rsidR="009C567B">
        <w:rPr>
          <w:rFonts w:cs="Arial"/>
        </w:rPr>
        <w:t>for lower paid employees</w:t>
      </w:r>
      <w:r w:rsidRPr="007A388B">
        <w:rPr>
          <w:rFonts w:cs="Arial"/>
        </w:rPr>
        <w:t xml:space="preserve">.  </w:t>
      </w:r>
    </w:p>
    <w:p w14:paraId="56D21151" w14:textId="374460C2" w:rsidR="009B501C" w:rsidRDefault="009B501C" w:rsidP="009F128D">
      <w:pPr>
        <w:ind w:left="0"/>
        <w:rPr>
          <w:rFonts w:cs="Arial"/>
        </w:rPr>
      </w:pPr>
    </w:p>
    <w:p w14:paraId="5540BDDA" w14:textId="77777777" w:rsidR="009C567B" w:rsidRPr="007A388B" w:rsidRDefault="009C567B" w:rsidP="009F128D">
      <w:pPr>
        <w:ind w:left="0"/>
        <w:rPr>
          <w:rFonts w:cs="Arial"/>
        </w:rPr>
      </w:pPr>
    </w:p>
    <w:p w14:paraId="53EF38BA" w14:textId="77777777" w:rsidR="009F128D" w:rsidRPr="007A388B" w:rsidRDefault="009F128D" w:rsidP="009F128D">
      <w:pPr>
        <w:rPr>
          <w:rFonts w:cs="Arial"/>
          <w:i/>
          <w:sz w:val="18"/>
          <w:szCs w:val="18"/>
        </w:rPr>
      </w:pPr>
    </w:p>
    <w:p w14:paraId="1B600B6B" w14:textId="77777777" w:rsidR="009F128D" w:rsidRPr="007A388B" w:rsidRDefault="009F128D" w:rsidP="009F128D">
      <w:pPr>
        <w:pStyle w:val="MediumShading1-Accent11"/>
        <w:ind w:left="0"/>
        <w:rPr>
          <w:rFonts w:cs="Arial"/>
          <w:szCs w:val="20"/>
        </w:rPr>
      </w:pPr>
      <w:r w:rsidRPr="007A388B">
        <w:rPr>
          <w:rFonts w:cs="Arial"/>
          <w:i/>
          <w:sz w:val="16"/>
          <w:szCs w:val="16"/>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p w14:paraId="4EA2C529" w14:textId="77777777" w:rsidR="008362F4" w:rsidRPr="007A388B" w:rsidRDefault="008362F4" w:rsidP="00160EF0">
      <w:pPr>
        <w:ind w:left="0"/>
        <w:rPr>
          <w:rFonts w:cs="Arial"/>
          <w:szCs w:val="20"/>
        </w:rPr>
      </w:pPr>
    </w:p>
    <w:sectPr w:rsidR="008362F4" w:rsidRPr="007A388B" w:rsidSect="00E53468">
      <w:footerReference w:type="default" r:id="rId12"/>
      <w:headerReference w:type="first" r:id="rId13"/>
      <w:footerReference w:type="first" r:id="rId14"/>
      <w:pgSz w:w="12240" w:h="15840" w:code="1"/>
      <w:pgMar w:top="1440" w:right="1440" w:bottom="1440" w:left="1440" w:header="965" w:footer="965"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2146C" w14:textId="77777777" w:rsidR="00DC4842" w:rsidRDefault="00DC4842" w:rsidP="006C7EC1">
      <w:r>
        <w:separator/>
      </w:r>
    </w:p>
  </w:endnote>
  <w:endnote w:type="continuationSeparator" w:id="0">
    <w:p w14:paraId="5D5A3EE0" w14:textId="77777777" w:rsidR="00DC4842" w:rsidRDefault="00DC4842" w:rsidP="006C7EC1">
      <w:r>
        <w:continuationSeparator/>
      </w:r>
    </w:p>
  </w:endnote>
  <w:endnote w:type="continuationNotice" w:id="1">
    <w:p w14:paraId="113765D2" w14:textId="77777777" w:rsidR="00DC4842" w:rsidRDefault="00DC48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D6EC7" w14:textId="77777777" w:rsidR="008E0604" w:rsidRDefault="008E0604" w:rsidP="006C7EC1">
    <w:pPr>
      <w:pStyle w:val="Footer"/>
      <w:jc w:val="center"/>
      <w:rPr>
        <w:rFonts w:cs="Arial"/>
        <w:sz w:val="18"/>
        <w:szCs w:val="18"/>
      </w:rPr>
    </w:pPr>
  </w:p>
  <w:p w14:paraId="171FB95D" w14:textId="5AE758C5" w:rsidR="008E0604" w:rsidRDefault="008E0604" w:rsidP="006C7EC1">
    <w:pPr>
      <w:pStyle w:val="Footer"/>
      <w:jc w:val="center"/>
      <w:rPr>
        <w:sz w:val="18"/>
        <w:szCs w:val="18"/>
        <w:lang w:val="en-US"/>
      </w:rPr>
    </w:pPr>
    <w:r w:rsidRPr="006C7EC1">
      <w:rPr>
        <w:rFonts w:cs="Arial"/>
        <w:sz w:val="18"/>
        <w:szCs w:val="18"/>
      </w:rPr>
      <w:t>© 20</w:t>
    </w:r>
    <w:r w:rsidR="00CA6013">
      <w:rPr>
        <w:rFonts w:cs="Arial"/>
        <w:sz w:val="18"/>
        <w:szCs w:val="18"/>
        <w:lang w:val="en-US"/>
      </w:rPr>
      <w:t>2</w:t>
    </w:r>
    <w:r w:rsidR="0097186D">
      <w:rPr>
        <w:rFonts w:cs="Arial"/>
        <w:sz w:val="18"/>
        <w:szCs w:val="18"/>
        <w:lang w:val="en-US"/>
      </w:rPr>
      <w:t>1</w:t>
    </w:r>
    <w:r w:rsidRPr="006C7EC1">
      <w:rPr>
        <w:rFonts w:cs="Arial"/>
        <w:sz w:val="18"/>
        <w:szCs w:val="18"/>
      </w:rPr>
      <w:t xml:space="preserve"> </w:t>
    </w:r>
    <w:r>
      <w:rPr>
        <w:sz w:val="18"/>
        <w:szCs w:val="18"/>
      </w:rPr>
      <w:t>Benefit Comply, LLC</w:t>
    </w:r>
  </w:p>
  <w:p w14:paraId="3716DBEF" w14:textId="77777777" w:rsidR="008E0604" w:rsidRDefault="008E0604" w:rsidP="00866B99">
    <w:pPr>
      <w:pStyle w:val="Footer"/>
      <w:jc w:val="cente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79475D">
      <w:rPr>
        <w:noProof/>
        <w:sz w:val="18"/>
        <w:szCs w:val="18"/>
        <w:lang w:val="en-US"/>
      </w:rPr>
      <w:t>3</w:t>
    </w:r>
    <w:r w:rsidRPr="00866B99">
      <w:rPr>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7227C" w14:textId="7D16C513" w:rsidR="008E0604" w:rsidRDefault="008E0604" w:rsidP="006C7EC1">
    <w:pPr>
      <w:pStyle w:val="Footer"/>
      <w:jc w:val="center"/>
      <w:rPr>
        <w:sz w:val="18"/>
        <w:szCs w:val="18"/>
        <w:lang w:val="en-US"/>
      </w:rPr>
    </w:pPr>
    <w:r>
      <w:rPr>
        <w:rFonts w:cs="Arial"/>
        <w:sz w:val="18"/>
        <w:szCs w:val="18"/>
      </w:rPr>
      <w:t>© 20</w:t>
    </w:r>
    <w:r w:rsidR="00CA6013">
      <w:rPr>
        <w:rFonts w:cs="Arial"/>
        <w:sz w:val="18"/>
        <w:szCs w:val="18"/>
        <w:lang w:val="en-US"/>
      </w:rPr>
      <w:t>2</w:t>
    </w:r>
    <w:r w:rsidR="00321DB3">
      <w:rPr>
        <w:rFonts w:cs="Arial"/>
        <w:sz w:val="18"/>
        <w:szCs w:val="18"/>
        <w:lang w:val="en-US"/>
      </w:rPr>
      <w:t>1</w:t>
    </w:r>
    <w:r w:rsidRPr="006C7EC1">
      <w:rPr>
        <w:rFonts w:cs="Arial"/>
        <w:sz w:val="18"/>
        <w:szCs w:val="18"/>
      </w:rPr>
      <w:t xml:space="preserve"> </w:t>
    </w:r>
    <w:r>
      <w:rPr>
        <w:sz w:val="18"/>
        <w:szCs w:val="18"/>
      </w:rPr>
      <w:t>Benefit Comply, LLC</w:t>
    </w:r>
  </w:p>
  <w:p w14:paraId="03E2A5C0" w14:textId="77777777" w:rsidR="008E0604" w:rsidRPr="00866B99" w:rsidRDefault="008E0604" w:rsidP="006C7EC1">
    <w:pPr>
      <w:pStyle w:val="Footer"/>
      <w:jc w:val="center"/>
      <w:rPr>
        <w:sz w:val="18"/>
        <w:szCs w:val="18"/>
        <w:lang w:val="en-US"/>
      </w:rP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79475D">
      <w:rPr>
        <w:noProof/>
        <w:sz w:val="18"/>
        <w:szCs w:val="18"/>
        <w:lang w:val="en-US"/>
      </w:rPr>
      <w:t>1</w:t>
    </w:r>
    <w:r w:rsidRPr="00866B99">
      <w:rPr>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65B60" w14:textId="77777777" w:rsidR="00DC4842" w:rsidRDefault="00DC4842" w:rsidP="006C7EC1">
      <w:r>
        <w:separator/>
      </w:r>
    </w:p>
  </w:footnote>
  <w:footnote w:type="continuationSeparator" w:id="0">
    <w:p w14:paraId="24E5814B" w14:textId="77777777" w:rsidR="00DC4842" w:rsidRDefault="00DC4842" w:rsidP="006C7EC1">
      <w:r>
        <w:continuationSeparator/>
      </w:r>
    </w:p>
  </w:footnote>
  <w:footnote w:type="continuationNotice" w:id="1">
    <w:p w14:paraId="2A5CA7B0" w14:textId="77777777" w:rsidR="00DC4842" w:rsidRDefault="00DC48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5151F" w14:textId="77777777" w:rsidR="008E0604" w:rsidRPr="006717AA" w:rsidRDefault="008E0604" w:rsidP="00373838">
    <w:pPr>
      <w:pStyle w:val="Header"/>
      <w:ind w:left="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FFC50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255FDD"/>
    <w:multiLevelType w:val="hybridMultilevel"/>
    <w:tmpl w:val="D2688856"/>
    <w:lvl w:ilvl="0" w:tplc="37A64CC6">
      <w:start w:val="1"/>
      <w:numFmt w:val="bullet"/>
      <w:lvlText w:val="o"/>
      <w:lvlJc w:val="left"/>
      <w:pPr>
        <w:ind w:left="1080" w:hanging="360"/>
      </w:pPr>
      <w:rPr>
        <w:rFonts w:ascii="Courier New" w:hAnsi="Courier New" w:hint="default"/>
      </w:rPr>
    </w:lvl>
    <w:lvl w:ilvl="1" w:tplc="FC806A1C">
      <w:start w:val="1"/>
      <w:numFmt w:val="bullet"/>
      <w:lvlText w:val=""/>
      <w:lvlJc w:val="left"/>
      <w:pPr>
        <w:ind w:left="1800" w:hanging="432"/>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9A2908"/>
    <w:multiLevelType w:val="hybridMultilevel"/>
    <w:tmpl w:val="170C8F74"/>
    <w:lvl w:ilvl="0" w:tplc="FD101750">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317AA"/>
    <w:multiLevelType w:val="hybridMultilevel"/>
    <w:tmpl w:val="35FA142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75308F"/>
    <w:multiLevelType w:val="hybridMultilevel"/>
    <w:tmpl w:val="739E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B0521"/>
    <w:multiLevelType w:val="hybridMultilevel"/>
    <w:tmpl w:val="CEBA7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E2ED6"/>
    <w:multiLevelType w:val="hybridMultilevel"/>
    <w:tmpl w:val="E8FA4A18"/>
    <w:lvl w:ilvl="0" w:tplc="DA2C8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056144"/>
    <w:multiLevelType w:val="hybridMultilevel"/>
    <w:tmpl w:val="E8CA0A0C"/>
    <w:lvl w:ilvl="0" w:tplc="37A64CC6">
      <w:start w:val="1"/>
      <w:numFmt w:val="bullet"/>
      <w:lvlText w:val="o"/>
      <w:lvlJc w:val="left"/>
      <w:pPr>
        <w:ind w:left="1080" w:hanging="360"/>
      </w:pPr>
      <w:rPr>
        <w:rFonts w:ascii="Courier New" w:hAnsi="Courier New" w:hint="default"/>
      </w:rPr>
    </w:lvl>
    <w:lvl w:ilvl="1" w:tplc="1CD8F816">
      <w:start w:val="1"/>
      <w:numFmt w:val="bullet"/>
      <w:lvlText w:val=""/>
      <w:lvlJc w:val="left"/>
      <w:pPr>
        <w:ind w:left="2160" w:hanging="108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3E75C8"/>
    <w:multiLevelType w:val="hybridMultilevel"/>
    <w:tmpl w:val="A2AC4F52"/>
    <w:lvl w:ilvl="0" w:tplc="04090001">
      <w:start w:val="1"/>
      <w:numFmt w:val="bullet"/>
      <w:lvlText w:val=""/>
      <w:lvlJc w:val="left"/>
      <w:pPr>
        <w:ind w:left="720" w:hanging="360"/>
      </w:pPr>
      <w:rPr>
        <w:rFonts w:ascii="Symbol" w:hAnsi="Symbol" w:hint="default"/>
      </w:rPr>
    </w:lvl>
    <w:lvl w:ilvl="1" w:tplc="9D00A294">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E2028E"/>
    <w:multiLevelType w:val="hybridMultilevel"/>
    <w:tmpl w:val="44A8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1A7A73"/>
    <w:multiLevelType w:val="hybridMultilevel"/>
    <w:tmpl w:val="E43C6602"/>
    <w:lvl w:ilvl="0" w:tplc="0BF6434E">
      <w:start w:val="1"/>
      <w:numFmt w:val="bullet"/>
      <w:lvlText w:val="o"/>
      <w:lvlJc w:val="left"/>
      <w:pPr>
        <w:ind w:left="1080" w:hanging="360"/>
      </w:pPr>
      <w:rPr>
        <w:rFonts w:ascii="Courier New" w:hAnsi="Courier New" w:hint="default"/>
      </w:rPr>
    </w:lvl>
    <w:lvl w:ilvl="1" w:tplc="1CD8F816">
      <w:start w:val="1"/>
      <w:numFmt w:val="bullet"/>
      <w:lvlText w:val=""/>
      <w:lvlJc w:val="left"/>
      <w:pPr>
        <w:ind w:left="2520" w:hanging="108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264D50"/>
    <w:multiLevelType w:val="hybridMultilevel"/>
    <w:tmpl w:val="7B3641CE"/>
    <w:lvl w:ilvl="0" w:tplc="37A64CC6">
      <w:start w:val="1"/>
      <w:numFmt w:val="bullet"/>
      <w:lvlText w:val="o"/>
      <w:lvlJc w:val="left"/>
      <w:pPr>
        <w:ind w:left="1080" w:hanging="360"/>
      </w:pPr>
      <w:rPr>
        <w:rFonts w:ascii="Courier New" w:hAnsi="Courier New" w:hint="default"/>
      </w:rPr>
    </w:lvl>
    <w:lvl w:ilvl="1" w:tplc="D3B6AAEC">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BCB786C"/>
    <w:multiLevelType w:val="hybridMultilevel"/>
    <w:tmpl w:val="45AC55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523875E7"/>
    <w:multiLevelType w:val="hybridMultilevel"/>
    <w:tmpl w:val="E66C43A4"/>
    <w:lvl w:ilvl="0" w:tplc="37A64CC6">
      <w:start w:val="1"/>
      <w:numFmt w:val="bullet"/>
      <w:lvlText w:val="o"/>
      <w:lvlJc w:val="left"/>
      <w:pPr>
        <w:ind w:left="1080" w:hanging="72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FE32C0"/>
    <w:multiLevelType w:val="hybridMultilevel"/>
    <w:tmpl w:val="F39AE78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CF12286"/>
    <w:multiLevelType w:val="hybridMultilevel"/>
    <w:tmpl w:val="6C904DFE"/>
    <w:lvl w:ilvl="0" w:tplc="37A64CC6">
      <w:start w:val="1"/>
      <w:numFmt w:val="bullet"/>
      <w:lvlText w:val="o"/>
      <w:lvlJc w:val="left"/>
      <w:pPr>
        <w:ind w:left="1080" w:hanging="360"/>
      </w:pPr>
      <w:rPr>
        <w:rFonts w:ascii="Courier New" w:hAnsi="Courier New" w:hint="default"/>
      </w:rPr>
    </w:lvl>
    <w:lvl w:ilvl="1" w:tplc="F4DE6FE4">
      <w:start w:val="1"/>
      <w:numFmt w:val="bullet"/>
      <w:lvlText w:val=""/>
      <w:lvlJc w:val="left"/>
      <w:pPr>
        <w:ind w:left="144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46B7762"/>
    <w:multiLevelType w:val="hybridMultilevel"/>
    <w:tmpl w:val="F5B60E6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77FC512C"/>
    <w:multiLevelType w:val="hybridMultilevel"/>
    <w:tmpl w:val="E0C220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79D818E9"/>
    <w:multiLevelType w:val="hybridMultilevel"/>
    <w:tmpl w:val="CDDCFDD2"/>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7"/>
  </w:num>
  <w:num w:numId="3">
    <w:abstractNumId w:val="16"/>
  </w:num>
  <w:num w:numId="4">
    <w:abstractNumId w:val="3"/>
  </w:num>
  <w:num w:numId="5">
    <w:abstractNumId w:val="12"/>
  </w:num>
  <w:num w:numId="6">
    <w:abstractNumId w:val="5"/>
  </w:num>
  <w:num w:numId="7">
    <w:abstractNumId w:val="4"/>
  </w:num>
  <w:num w:numId="8">
    <w:abstractNumId w:val="14"/>
  </w:num>
  <w:num w:numId="9">
    <w:abstractNumId w:val="0"/>
  </w:num>
  <w:num w:numId="10">
    <w:abstractNumId w:val="13"/>
  </w:num>
  <w:num w:numId="11">
    <w:abstractNumId w:val="18"/>
  </w:num>
  <w:num w:numId="12">
    <w:abstractNumId w:val="9"/>
  </w:num>
  <w:num w:numId="13">
    <w:abstractNumId w:val="7"/>
  </w:num>
  <w:num w:numId="14">
    <w:abstractNumId w:val="6"/>
  </w:num>
  <w:num w:numId="15">
    <w:abstractNumId w:val="10"/>
  </w:num>
  <w:num w:numId="16">
    <w:abstractNumId w:val="11"/>
  </w:num>
  <w:num w:numId="17">
    <w:abstractNumId w:val="1"/>
  </w:num>
  <w:num w:numId="18">
    <w:abstractNumId w:val="15"/>
  </w:num>
  <w:num w:numId="1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80"/>
  <w:drawingGridVerticalSpacing w:val="109"/>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1"/>
    <w:rsid w:val="000037D0"/>
    <w:rsid w:val="00005010"/>
    <w:rsid w:val="00005756"/>
    <w:rsid w:val="000130D1"/>
    <w:rsid w:val="00014763"/>
    <w:rsid w:val="000166F5"/>
    <w:rsid w:val="00027ACB"/>
    <w:rsid w:val="00032B26"/>
    <w:rsid w:val="00040AB3"/>
    <w:rsid w:val="00041D34"/>
    <w:rsid w:val="00042D2A"/>
    <w:rsid w:val="00045F42"/>
    <w:rsid w:val="00056762"/>
    <w:rsid w:val="0006084A"/>
    <w:rsid w:val="0006208C"/>
    <w:rsid w:val="00063A66"/>
    <w:rsid w:val="00065F15"/>
    <w:rsid w:val="00071F3D"/>
    <w:rsid w:val="00072A4C"/>
    <w:rsid w:val="000857D5"/>
    <w:rsid w:val="00085D10"/>
    <w:rsid w:val="00090998"/>
    <w:rsid w:val="00093B13"/>
    <w:rsid w:val="00096B1E"/>
    <w:rsid w:val="000A697A"/>
    <w:rsid w:val="000B4DEA"/>
    <w:rsid w:val="000C3603"/>
    <w:rsid w:val="000C3FA8"/>
    <w:rsid w:val="000C41B5"/>
    <w:rsid w:val="000C5473"/>
    <w:rsid w:val="000C721A"/>
    <w:rsid w:val="000D759D"/>
    <w:rsid w:val="000D78EF"/>
    <w:rsid w:val="000E03AB"/>
    <w:rsid w:val="000E1BA2"/>
    <w:rsid w:val="000E668C"/>
    <w:rsid w:val="000F3F23"/>
    <w:rsid w:val="0010150B"/>
    <w:rsid w:val="001021F4"/>
    <w:rsid w:val="00103F85"/>
    <w:rsid w:val="00104680"/>
    <w:rsid w:val="0011129C"/>
    <w:rsid w:val="00113F23"/>
    <w:rsid w:val="001432A3"/>
    <w:rsid w:val="00144A9C"/>
    <w:rsid w:val="00146F88"/>
    <w:rsid w:val="00155720"/>
    <w:rsid w:val="00160EF0"/>
    <w:rsid w:val="00172882"/>
    <w:rsid w:val="00174B5A"/>
    <w:rsid w:val="00174C14"/>
    <w:rsid w:val="001824D9"/>
    <w:rsid w:val="001831CC"/>
    <w:rsid w:val="00186D38"/>
    <w:rsid w:val="00187547"/>
    <w:rsid w:val="0018764F"/>
    <w:rsid w:val="00194FD3"/>
    <w:rsid w:val="001A1A3D"/>
    <w:rsid w:val="001A4388"/>
    <w:rsid w:val="001A569D"/>
    <w:rsid w:val="001A7955"/>
    <w:rsid w:val="001B1A88"/>
    <w:rsid w:val="001B4580"/>
    <w:rsid w:val="001C1E40"/>
    <w:rsid w:val="001C256F"/>
    <w:rsid w:val="001C4860"/>
    <w:rsid w:val="001C68CC"/>
    <w:rsid w:val="001D58D8"/>
    <w:rsid w:val="001D745D"/>
    <w:rsid w:val="001D77F4"/>
    <w:rsid w:val="001E2972"/>
    <w:rsid w:val="001E622E"/>
    <w:rsid w:val="001F0404"/>
    <w:rsid w:val="001F20E5"/>
    <w:rsid w:val="001F55BC"/>
    <w:rsid w:val="00200664"/>
    <w:rsid w:val="0020244B"/>
    <w:rsid w:val="00211FC6"/>
    <w:rsid w:val="0021233F"/>
    <w:rsid w:val="00212890"/>
    <w:rsid w:val="00212E4A"/>
    <w:rsid w:val="002213CA"/>
    <w:rsid w:val="002241F3"/>
    <w:rsid w:val="00224D07"/>
    <w:rsid w:val="00226283"/>
    <w:rsid w:val="00231306"/>
    <w:rsid w:val="00247077"/>
    <w:rsid w:val="00250761"/>
    <w:rsid w:val="0025504A"/>
    <w:rsid w:val="00255A5D"/>
    <w:rsid w:val="00267C12"/>
    <w:rsid w:val="00270D0F"/>
    <w:rsid w:val="00273D4E"/>
    <w:rsid w:val="00274033"/>
    <w:rsid w:val="002742E6"/>
    <w:rsid w:val="00277CAA"/>
    <w:rsid w:val="002A6392"/>
    <w:rsid w:val="002A761A"/>
    <w:rsid w:val="002C4ADB"/>
    <w:rsid w:val="002D6E4B"/>
    <w:rsid w:val="002E12F2"/>
    <w:rsid w:val="002E280D"/>
    <w:rsid w:val="002E69BE"/>
    <w:rsid w:val="002F1D78"/>
    <w:rsid w:val="002F3FBC"/>
    <w:rsid w:val="002F5B6A"/>
    <w:rsid w:val="002F5FCD"/>
    <w:rsid w:val="00311D22"/>
    <w:rsid w:val="00314066"/>
    <w:rsid w:val="00315F0E"/>
    <w:rsid w:val="0031698C"/>
    <w:rsid w:val="00321DB3"/>
    <w:rsid w:val="00332855"/>
    <w:rsid w:val="00337651"/>
    <w:rsid w:val="00341F9B"/>
    <w:rsid w:val="00346D40"/>
    <w:rsid w:val="00351DAE"/>
    <w:rsid w:val="003536E9"/>
    <w:rsid w:val="0035725D"/>
    <w:rsid w:val="003606B3"/>
    <w:rsid w:val="00373838"/>
    <w:rsid w:val="0037534B"/>
    <w:rsid w:val="00375AC7"/>
    <w:rsid w:val="00376D4E"/>
    <w:rsid w:val="00377A73"/>
    <w:rsid w:val="003902B9"/>
    <w:rsid w:val="0039272A"/>
    <w:rsid w:val="00393B70"/>
    <w:rsid w:val="00395F3D"/>
    <w:rsid w:val="00397F1D"/>
    <w:rsid w:val="003A15A0"/>
    <w:rsid w:val="003A7120"/>
    <w:rsid w:val="003B0730"/>
    <w:rsid w:val="003B2F3D"/>
    <w:rsid w:val="003B7105"/>
    <w:rsid w:val="003C1F48"/>
    <w:rsid w:val="003C2C45"/>
    <w:rsid w:val="003C50C6"/>
    <w:rsid w:val="003C5BBE"/>
    <w:rsid w:val="003D3ABE"/>
    <w:rsid w:val="003D5BB6"/>
    <w:rsid w:val="003E1F9E"/>
    <w:rsid w:val="003E7F11"/>
    <w:rsid w:val="004019B7"/>
    <w:rsid w:val="00402D38"/>
    <w:rsid w:val="00421453"/>
    <w:rsid w:val="00431FC0"/>
    <w:rsid w:val="00441B20"/>
    <w:rsid w:val="0044224C"/>
    <w:rsid w:val="00450D6A"/>
    <w:rsid w:val="00453723"/>
    <w:rsid w:val="00453816"/>
    <w:rsid w:val="00455ECF"/>
    <w:rsid w:val="00461B0E"/>
    <w:rsid w:val="00464CBE"/>
    <w:rsid w:val="00467E2A"/>
    <w:rsid w:val="00476F72"/>
    <w:rsid w:val="004870C3"/>
    <w:rsid w:val="00490D5F"/>
    <w:rsid w:val="004A51E3"/>
    <w:rsid w:val="004B2781"/>
    <w:rsid w:val="004B4147"/>
    <w:rsid w:val="004B6441"/>
    <w:rsid w:val="004B7C6C"/>
    <w:rsid w:val="004C2946"/>
    <w:rsid w:val="004C4825"/>
    <w:rsid w:val="004C685A"/>
    <w:rsid w:val="004C7E74"/>
    <w:rsid w:val="004E1B3E"/>
    <w:rsid w:val="004E530D"/>
    <w:rsid w:val="004E77C4"/>
    <w:rsid w:val="004F0122"/>
    <w:rsid w:val="004F38E5"/>
    <w:rsid w:val="004F4484"/>
    <w:rsid w:val="004F5A8F"/>
    <w:rsid w:val="005274B9"/>
    <w:rsid w:val="00532F84"/>
    <w:rsid w:val="0053695B"/>
    <w:rsid w:val="005378A2"/>
    <w:rsid w:val="00540CCF"/>
    <w:rsid w:val="00544C20"/>
    <w:rsid w:val="00554D66"/>
    <w:rsid w:val="0055764A"/>
    <w:rsid w:val="0056000B"/>
    <w:rsid w:val="005660E9"/>
    <w:rsid w:val="005718A9"/>
    <w:rsid w:val="005718C3"/>
    <w:rsid w:val="00586252"/>
    <w:rsid w:val="00586571"/>
    <w:rsid w:val="005900FA"/>
    <w:rsid w:val="00591725"/>
    <w:rsid w:val="005921C3"/>
    <w:rsid w:val="005926DA"/>
    <w:rsid w:val="005A631F"/>
    <w:rsid w:val="005B0103"/>
    <w:rsid w:val="005C2382"/>
    <w:rsid w:val="005D297F"/>
    <w:rsid w:val="005D6D8C"/>
    <w:rsid w:val="005E1161"/>
    <w:rsid w:val="005E4301"/>
    <w:rsid w:val="005F1993"/>
    <w:rsid w:val="005F2269"/>
    <w:rsid w:val="005F4D3F"/>
    <w:rsid w:val="005F6CE2"/>
    <w:rsid w:val="00600FC4"/>
    <w:rsid w:val="006034D7"/>
    <w:rsid w:val="00605355"/>
    <w:rsid w:val="006102F4"/>
    <w:rsid w:val="006149F2"/>
    <w:rsid w:val="00616FD0"/>
    <w:rsid w:val="00624C3F"/>
    <w:rsid w:val="00630D64"/>
    <w:rsid w:val="00633D0E"/>
    <w:rsid w:val="006466D7"/>
    <w:rsid w:val="006577E9"/>
    <w:rsid w:val="00657FA9"/>
    <w:rsid w:val="00671446"/>
    <w:rsid w:val="006717AA"/>
    <w:rsid w:val="00675439"/>
    <w:rsid w:val="006756CB"/>
    <w:rsid w:val="00685C8D"/>
    <w:rsid w:val="00691EEA"/>
    <w:rsid w:val="006973D7"/>
    <w:rsid w:val="006B1545"/>
    <w:rsid w:val="006B23FC"/>
    <w:rsid w:val="006B28BC"/>
    <w:rsid w:val="006B3E2A"/>
    <w:rsid w:val="006B5260"/>
    <w:rsid w:val="006B5292"/>
    <w:rsid w:val="006C7B72"/>
    <w:rsid w:val="006C7EC1"/>
    <w:rsid w:val="006E1247"/>
    <w:rsid w:val="006F72AD"/>
    <w:rsid w:val="007022C4"/>
    <w:rsid w:val="00713909"/>
    <w:rsid w:val="00726F77"/>
    <w:rsid w:val="0072721D"/>
    <w:rsid w:val="00731A51"/>
    <w:rsid w:val="00735383"/>
    <w:rsid w:val="00736A9B"/>
    <w:rsid w:val="007414D8"/>
    <w:rsid w:val="007508F7"/>
    <w:rsid w:val="007626B8"/>
    <w:rsid w:val="00764DE7"/>
    <w:rsid w:val="00773A5A"/>
    <w:rsid w:val="00773AE3"/>
    <w:rsid w:val="00776816"/>
    <w:rsid w:val="00777DB3"/>
    <w:rsid w:val="007908B7"/>
    <w:rsid w:val="0079475D"/>
    <w:rsid w:val="007955C9"/>
    <w:rsid w:val="007956BD"/>
    <w:rsid w:val="007A388B"/>
    <w:rsid w:val="007A6D31"/>
    <w:rsid w:val="007B0353"/>
    <w:rsid w:val="007B36C2"/>
    <w:rsid w:val="007B4885"/>
    <w:rsid w:val="007B671F"/>
    <w:rsid w:val="007B799A"/>
    <w:rsid w:val="007C77AA"/>
    <w:rsid w:val="007C7C7C"/>
    <w:rsid w:val="007C7D72"/>
    <w:rsid w:val="007D259E"/>
    <w:rsid w:val="007D5827"/>
    <w:rsid w:val="007E13BD"/>
    <w:rsid w:val="007E2565"/>
    <w:rsid w:val="007E4ADD"/>
    <w:rsid w:val="007F0369"/>
    <w:rsid w:val="007F1010"/>
    <w:rsid w:val="007F34B4"/>
    <w:rsid w:val="007F634F"/>
    <w:rsid w:val="00800A0A"/>
    <w:rsid w:val="0080349F"/>
    <w:rsid w:val="00803687"/>
    <w:rsid w:val="008052A3"/>
    <w:rsid w:val="008102A3"/>
    <w:rsid w:val="00822C04"/>
    <w:rsid w:val="00827418"/>
    <w:rsid w:val="0083063B"/>
    <w:rsid w:val="008347E7"/>
    <w:rsid w:val="008362F4"/>
    <w:rsid w:val="00840509"/>
    <w:rsid w:val="00840DD1"/>
    <w:rsid w:val="008477BE"/>
    <w:rsid w:val="008615C4"/>
    <w:rsid w:val="0086304F"/>
    <w:rsid w:val="008645AC"/>
    <w:rsid w:val="008666BB"/>
    <w:rsid w:val="00866B99"/>
    <w:rsid w:val="00876566"/>
    <w:rsid w:val="00891FC6"/>
    <w:rsid w:val="00896801"/>
    <w:rsid w:val="00897617"/>
    <w:rsid w:val="008A5596"/>
    <w:rsid w:val="008A5DF8"/>
    <w:rsid w:val="008C4542"/>
    <w:rsid w:val="008C712B"/>
    <w:rsid w:val="008D0598"/>
    <w:rsid w:val="008D3E7A"/>
    <w:rsid w:val="008D5BAD"/>
    <w:rsid w:val="008D781E"/>
    <w:rsid w:val="008E0604"/>
    <w:rsid w:val="008E2D74"/>
    <w:rsid w:val="008E308F"/>
    <w:rsid w:val="008E4B3D"/>
    <w:rsid w:val="008E6929"/>
    <w:rsid w:val="008F2B0B"/>
    <w:rsid w:val="00914A8A"/>
    <w:rsid w:val="00915B9B"/>
    <w:rsid w:val="00923103"/>
    <w:rsid w:val="00930A4F"/>
    <w:rsid w:val="009312C4"/>
    <w:rsid w:val="0093597C"/>
    <w:rsid w:val="0094031C"/>
    <w:rsid w:val="00951D03"/>
    <w:rsid w:val="00951D05"/>
    <w:rsid w:val="009536DD"/>
    <w:rsid w:val="009629D1"/>
    <w:rsid w:val="00962F68"/>
    <w:rsid w:val="009634AE"/>
    <w:rsid w:val="00966B82"/>
    <w:rsid w:val="0096744A"/>
    <w:rsid w:val="00967C19"/>
    <w:rsid w:val="0097001D"/>
    <w:rsid w:val="009704FD"/>
    <w:rsid w:val="0097186D"/>
    <w:rsid w:val="00971E66"/>
    <w:rsid w:val="00976EE7"/>
    <w:rsid w:val="00997C14"/>
    <w:rsid w:val="009A29C5"/>
    <w:rsid w:val="009A4AD6"/>
    <w:rsid w:val="009B0C75"/>
    <w:rsid w:val="009B501C"/>
    <w:rsid w:val="009C3F26"/>
    <w:rsid w:val="009C567B"/>
    <w:rsid w:val="009C6FD1"/>
    <w:rsid w:val="009D2536"/>
    <w:rsid w:val="009D30FA"/>
    <w:rsid w:val="009D6B8F"/>
    <w:rsid w:val="009E2006"/>
    <w:rsid w:val="009F0EFE"/>
    <w:rsid w:val="009F1035"/>
    <w:rsid w:val="009F128D"/>
    <w:rsid w:val="009F2E01"/>
    <w:rsid w:val="009F5809"/>
    <w:rsid w:val="00A05A38"/>
    <w:rsid w:val="00A14728"/>
    <w:rsid w:val="00A21DC4"/>
    <w:rsid w:val="00A34FC3"/>
    <w:rsid w:val="00A36D84"/>
    <w:rsid w:val="00A4314E"/>
    <w:rsid w:val="00A50245"/>
    <w:rsid w:val="00A51D54"/>
    <w:rsid w:val="00A56BB2"/>
    <w:rsid w:val="00A60F14"/>
    <w:rsid w:val="00A6352B"/>
    <w:rsid w:val="00A671B6"/>
    <w:rsid w:val="00A67C0D"/>
    <w:rsid w:val="00A84C0E"/>
    <w:rsid w:val="00A94DC8"/>
    <w:rsid w:val="00A953DD"/>
    <w:rsid w:val="00A9585D"/>
    <w:rsid w:val="00AA3E90"/>
    <w:rsid w:val="00AA424E"/>
    <w:rsid w:val="00AA6A57"/>
    <w:rsid w:val="00AB0F84"/>
    <w:rsid w:val="00AB2DCF"/>
    <w:rsid w:val="00AB5E46"/>
    <w:rsid w:val="00AB66C0"/>
    <w:rsid w:val="00AC0F82"/>
    <w:rsid w:val="00AC5E02"/>
    <w:rsid w:val="00AC60D1"/>
    <w:rsid w:val="00AD32EA"/>
    <w:rsid w:val="00AD5E20"/>
    <w:rsid w:val="00AE1425"/>
    <w:rsid w:val="00AE2B47"/>
    <w:rsid w:val="00AE33B8"/>
    <w:rsid w:val="00AE5B5A"/>
    <w:rsid w:val="00AE7C27"/>
    <w:rsid w:val="00AF0B9D"/>
    <w:rsid w:val="00B06E74"/>
    <w:rsid w:val="00B1142F"/>
    <w:rsid w:val="00B13DDE"/>
    <w:rsid w:val="00B1435D"/>
    <w:rsid w:val="00B14799"/>
    <w:rsid w:val="00B15106"/>
    <w:rsid w:val="00B15861"/>
    <w:rsid w:val="00B16E4B"/>
    <w:rsid w:val="00B2077C"/>
    <w:rsid w:val="00B347E4"/>
    <w:rsid w:val="00B448AB"/>
    <w:rsid w:val="00B51719"/>
    <w:rsid w:val="00B554D2"/>
    <w:rsid w:val="00B55BBA"/>
    <w:rsid w:val="00B57B5E"/>
    <w:rsid w:val="00B6090B"/>
    <w:rsid w:val="00B66B60"/>
    <w:rsid w:val="00B76B82"/>
    <w:rsid w:val="00B803FC"/>
    <w:rsid w:val="00B90848"/>
    <w:rsid w:val="00B954EF"/>
    <w:rsid w:val="00BA3246"/>
    <w:rsid w:val="00BA6FBA"/>
    <w:rsid w:val="00BB01DD"/>
    <w:rsid w:val="00BB04D8"/>
    <w:rsid w:val="00BC004D"/>
    <w:rsid w:val="00BC1E4F"/>
    <w:rsid w:val="00BC5BB5"/>
    <w:rsid w:val="00BD2EC1"/>
    <w:rsid w:val="00BD3EE9"/>
    <w:rsid w:val="00BE0984"/>
    <w:rsid w:val="00BE0BDC"/>
    <w:rsid w:val="00BE398F"/>
    <w:rsid w:val="00BE786E"/>
    <w:rsid w:val="00BF434C"/>
    <w:rsid w:val="00BF49EF"/>
    <w:rsid w:val="00C07F42"/>
    <w:rsid w:val="00C23112"/>
    <w:rsid w:val="00C24151"/>
    <w:rsid w:val="00C37B24"/>
    <w:rsid w:val="00C45829"/>
    <w:rsid w:val="00C47927"/>
    <w:rsid w:val="00C51903"/>
    <w:rsid w:val="00C5571B"/>
    <w:rsid w:val="00C60F20"/>
    <w:rsid w:val="00C610E5"/>
    <w:rsid w:val="00C70F5A"/>
    <w:rsid w:val="00C87D79"/>
    <w:rsid w:val="00C91641"/>
    <w:rsid w:val="00C91C53"/>
    <w:rsid w:val="00CA6013"/>
    <w:rsid w:val="00CB08F7"/>
    <w:rsid w:val="00CB2087"/>
    <w:rsid w:val="00CB2A7B"/>
    <w:rsid w:val="00CB7F8B"/>
    <w:rsid w:val="00CC64F7"/>
    <w:rsid w:val="00CD3AB1"/>
    <w:rsid w:val="00CD4988"/>
    <w:rsid w:val="00CE15AE"/>
    <w:rsid w:val="00CE5435"/>
    <w:rsid w:val="00CF44F7"/>
    <w:rsid w:val="00CF51FD"/>
    <w:rsid w:val="00D00064"/>
    <w:rsid w:val="00D0013D"/>
    <w:rsid w:val="00D00F60"/>
    <w:rsid w:val="00D0224C"/>
    <w:rsid w:val="00D06F47"/>
    <w:rsid w:val="00D12B95"/>
    <w:rsid w:val="00D12D97"/>
    <w:rsid w:val="00D147A9"/>
    <w:rsid w:val="00D14868"/>
    <w:rsid w:val="00D17EB2"/>
    <w:rsid w:val="00D20571"/>
    <w:rsid w:val="00D21175"/>
    <w:rsid w:val="00D223E5"/>
    <w:rsid w:val="00D22DE9"/>
    <w:rsid w:val="00D23F45"/>
    <w:rsid w:val="00D25E06"/>
    <w:rsid w:val="00D31672"/>
    <w:rsid w:val="00D34186"/>
    <w:rsid w:val="00D41D37"/>
    <w:rsid w:val="00D448E1"/>
    <w:rsid w:val="00D44E36"/>
    <w:rsid w:val="00D506D7"/>
    <w:rsid w:val="00D636DB"/>
    <w:rsid w:val="00D76B13"/>
    <w:rsid w:val="00D76D80"/>
    <w:rsid w:val="00D80B8E"/>
    <w:rsid w:val="00D80E1E"/>
    <w:rsid w:val="00D81E25"/>
    <w:rsid w:val="00D878EE"/>
    <w:rsid w:val="00D975E7"/>
    <w:rsid w:val="00D97ECB"/>
    <w:rsid w:val="00DA1860"/>
    <w:rsid w:val="00DA5084"/>
    <w:rsid w:val="00DA6314"/>
    <w:rsid w:val="00DB00D9"/>
    <w:rsid w:val="00DB1126"/>
    <w:rsid w:val="00DB42E7"/>
    <w:rsid w:val="00DB46C3"/>
    <w:rsid w:val="00DB553D"/>
    <w:rsid w:val="00DC376D"/>
    <w:rsid w:val="00DC4842"/>
    <w:rsid w:val="00DC50F5"/>
    <w:rsid w:val="00DD04FD"/>
    <w:rsid w:val="00DD0B06"/>
    <w:rsid w:val="00DD1020"/>
    <w:rsid w:val="00DD1F35"/>
    <w:rsid w:val="00DD1F73"/>
    <w:rsid w:val="00DD69C1"/>
    <w:rsid w:val="00DE124E"/>
    <w:rsid w:val="00DE428B"/>
    <w:rsid w:val="00DF24C0"/>
    <w:rsid w:val="00DF5D23"/>
    <w:rsid w:val="00E023A7"/>
    <w:rsid w:val="00E03088"/>
    <w:rsid w:val="00E03522"/>
    <w:rsid w:val="00E0400B"/>
    <w:rsid w:val="00E0514A"/>
    <w:rsid w:val="00E075E7"/>
    <w:rsid w:val="00E10762"/>
    <w:rsid w:val="00E17007"/>
    <w:rsid w:val="00E33680"/>
    <w:rsid w:val="00E377FE"/>
    <w:rsid w:val="00E429E7"/>
    <w:rsid w:val="00E44F0B"/>
    <w:rsid w:val="00E457E7"/>
    <w:rsid w:val="00E46F87"/>
    <w:rsid w:val="00E50650"/>
    <w:rsid w:val="00E53468"/>
    <w:rsid w:val="00E537E1"/>
    <w:rsid w:val="00E76581"/>
    <w:rsid w:val="00E773C4"/>
    <w:rsid w:val="00E830A5"/>
    <w:rsid w:val="00E83CD0"/>
    <w:rsid w:val="00E84917"/>
    <w:rsid w:val="00E85FF7"/>
    <w:rsid w:val="00E91FF5"/>
    <w:rsid w:val="00EB2B80"/>
    <w:rsid w:val="00EB4518"/>
    <w:rsid w:val="00EB54CD"/>
    <w:rsid w:val="00EB6293"/>
    <w:rsid w:val="00EB6674"/>
    <w:rsid w:val="00EB7532"/>
    <w:rsid w:val="00EC6C15"/>
    <w:rsid w:val="00EC7F7C"/>
    <w:rsid w:val="00ED645B"/>
    <w:rsid w:val="00EF1C04"/>
    <w:rsid w:val="00EF7919"/>
    <w:rsid w:val="00F030DB"/>
    <w:rsid w:val="00F06079"/>
    <w:rsid w:val="00F14F76"/>
    <w:rsid w:val="00F208D8"/>
    <w:rsid w:val="00F440C1"/>
    <w:rsid w:val="00F51BB5"/>
    <w:rsid w:val="00F51DF1"/>
    <w:rsid w:val="00F535E7"/>
    <w:rsid w:val="00F55CEF"/>
    <w:rsid w:val="00F562CC"/>
    <w:rsid w:val="00F57124"/>
    <w:rsid w:val="00F617E4"/>
    <w:rsid w:val="00F65565"/>
    <w:rsid w:val="00F7135C"/>
    <w:rsid w:val="00F80D9C"/>
    <w:rsid w:val="00F83367"/>
    <w:rsid w:val="00F877B8"/>
    <w:rsid w:val="00F909F2"/>
    <w:rsid w:val="00F949F2"/>
    <w:rsid w:val="00FA0739"/>
    <w:rsid w:val="00FA1426"/>
    <w:rsid w:val="00FA4C44"/>
    <w:rsid w:val="00FA4FD2"/>
    <w:rsid w:val="00FA5593"/>
    <w:rsid w:val="00FA766A"/>
    <w:rsid w:val="00FB0360"/>
    <w:rsid w:val="00FB6812"/>
    <w:rsid w:val="00FC6943"/>
    <w:rsid w:val="00FC69CE"/>
    <w:rsid w:val="00FD0F26"/>
    <w:rsid w:val="00FD2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EB3B0F"/>
  <w14:defaultImageDpi w14:val="300"/>
  <w15:chartTrackingRefBased/>
  <w15:docId w15:val="{59A75F5E-7FFB-407C-9141-FF6E1266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35D"/>
    <w:pPr>
      <w:ind w:left="360"/>
    </w:pPr>
    <w:rPr>
      <w:rFonts w:ascii="Arial" w:hAnsi="Arial"/>
      <w:szCs w:val="22"/>
      <w:lang w:bidi="en-US"/>
    </w:rPr>
  </w:style>
  <w:style w:type="paragraph" w:styleId="Heading1">
    <w:name w:val="heading 1"/>
    <w:basedOn w:val="Heading2"/>
    <w:next w:val="Normal"/>
    <w:link w:val="Heading1Char"/>
    <w:uiPriority w:val="9"/>
    <w:qFormat/>
    <w:rsid w:val="008615C4"/>
    <w:pPr>
      <w:spacing w:before="0"/>
      <w:outlineLvl w:val="0"/>
    </w:pPr>
    <w:rPr>
      <w:rFonts w:ascii="Arial" w:eastAsia="Calibri" w:hAnsi="Arial"/>
      <w:bCs w:val="0"/>
      <w:sz w:val="28"/>
      <w:szCs w:val="28"/>
    </w:rPr>
  </w:style>
  <w:style w:type="paragraph" w:styleId="Heading2">
    <w:name w:val="heading 2"/>
    <w:basedOn w:val="Normal"/>
    <w:next w:val="Normal"/>
    <w:link w:val="Heading2Char"/>
    <w:uiPriority w:val="9"/>
    <w:qFormat/>
    <w:rsid w:val="002F5B6A"/>
    <w:pPr>
      <w:spacing w:before="200"/>
      <w:outlineLvl w:val="1"/>
    </w:pPr>
    <w:rPr>
      <w:rFonts w:ascii="Cambria" w:eastAsia="Times New Roman" w:hAnsi="Cambria"/>
      <w:b/>
      <w:bCs/>
      <w:sz w:val="26"/>
      <w:szCs w:val="26"/>
      <w:lang w:val="x-none" w:eastAsia="x-none" w:bidi="ar-SA"/>
    </w:rPr>
  </w:style>
  <w:style w:type="paragraph" w:styleId="Heading3">
    <w:name w:val="heading 3"/>
    <w:basedOn w:val="Normal"/>
    <w:next w:val="Normal"/>
    <w:link w:val="Heading3Char"/>
    <w:uiPriority w:val="9"/>
    <w:qFormat/>
    <w:rsid w:val="002F5B6A"/>
    <w:pPr>
      <w:spacing w:before="200" w:line="271" w:lineRule="auto"/>
      <w:outlineLvl w:val="2"/>
    </w:pPr>
    <w:rPr>
      <w:rFonts w:ascii="Cambria" w:eastAsia="Times New Roman" w:hAnsi="Cambria"/>
      <w:b/>
      <w:bCs/>
      <w:szCs w:val="20"/>
      <w:lang w:val="x-none" w:eastAsia="x-none" w:bidi="ar-SA"/>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szCs w:val="20"/>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szCs w:val="20"/>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szCs w:val="20"/>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szCs w:val="20"/>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szCs w:val="20"/>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15C4"/>
    <w:rPr>
      <w:rFonts w:ascii="Arial" w:hAnsi="Arial"/>
      <w:b/>
      <w:sz w:val="28"/>
      <w:szCs w:val="28"/>
    </w:rPr>
  </w:style>
  <w:style w:type="character" w:customStyle="1" w:styleId="Heading2Char">
    <w:name w:val="Heading 2 Char"/>
    <w:link w:val="Heading2"/>
    <w:uiPriority w:val="9"/>
    <w:semiHidden/>
    <w:rsid w:val="002F5B6A"/>
    <w:rPr>
      <w:rFonts w:ascii="Cambria" w:eastAsia="Times New Roman" w:hAnsi="Cambria" w:cs="Times New Roman"/>
      <w:b/>
      <w:bCs/>
      <w:sz w:val="26"/>
      <w:szCs w:val="26"/>
    </w:rPr>
  </w:style>
  <w:style w:type="character" w:customStyle="1" w:styleId="Heading3Char">
    <w:name w:val="Heading 3 Char"/>
    <w:link w:val="Heading3"/>
    <w:uiPriority w:val="9"/>
    <w:rsid w:val="002F5B6A"/>
    <w:rPr>
      <w:rFonts w:ascii="Cambria" w:eastAsia="Times New Roman" w:hAnsi="Cambria" w:cs="Times New Roman"/>
      <w:b/>
      <w:bC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Shading1-Accent11">
    <w:name w:val="Medium Shading 1 - Accent 11"/>
    <w:aliases w:val="Bob Comments"/>
    <w:basedOn w:val="Normal"/>
    <w:link w:val="MediumShading1-Accent1Char"/>
    <w:uiPriority w:val="1"/>
    <w:qFormat/>
    <w:rsid w:val="002F5B6A"/>
    <w:rPr>
      <w:lang w:val="x-none" w:eastAsia="x-none"/>
    </w:rPr>
  </w:style>
  <w:style w:type="paragraph" w:customStyle="1" w:styleId="MediumGrid1-Accent21">
    <w:name w:val="Medium Grid 1 - Accent 21"/>
    <w:basedOn w:val="Normal"/>
    <w:uiPriority w:val="34"/>
    <w:qFormat/>
    <w:rsid w:val="002F5B6A"/>
    <w:pPr>
      <w:contextualSpacing/>
    </w:pPr>
  </w:style>
  <w:style w:type="paragraph" w:customStyle="1" w:styleId="MediumGrid2-Accent21">
    <w:name w:val="Medium Grid 2 - Accent 21"/>
    <w:basedOn w:val="Normal"/>
    <w:next w:val="Normal"/>
    <w:link w:val="MediumGrid2-Accent2Char"/>
    <w:uiPriority w:val="29"/>
    <w:qFormat/>
    <w:rsid w:val="002F5B6A"/>
    <w:pPr>
      <w:spacing w:before="200"/>
      <w:ind w:right="360"/>
    </w:pPr>
    <w:rPr>
      <w:rFonts w:ascii="Calibri" w:hAnsi="Calibri"/>
      <w:i/>
      <w:iCs/>
      <w:szCs w:val="20"/>
      <w:lang w:val="x-none" w:eastAsia="x-none" w:bidi="ar-SA"/>
    </w:rPr>
  </w:style>
  <w:style w:type="character" w:customStyle="1" w:styleId="MediumGrid2-Accent2Char">
    <w:name w:val="Medium Grid 2 - Accent 2 Char"/>
    <w:link w:val="MediumGrid2-Accent21"/>
    <w:uiPriority w:val="29"/>
    <w:rsid w:val="002F5B6A"/>
    <w:rPr>
      <w:i/>
      <w:iCs/>
    </w:rPr>
  </w:style>
  <w:style w:type="paragraph" w:customStyle="1" w:styleId="MediumGrid3-Accent21">
    <w:name w:val="Medium Grid 3 - Accent 21"/>
    <w:basedOn w:val="Normal"/>
    <w:next w:val="Normal"/>
    <w:link w:val="MediumGrid3-Accent2Char"/>
    <w:uiPriority w:val="30"/>
    <w:qFormat/>
    <w:rsid w:val="002F5B6A"/>
    <w:pPr>
      <w:pBdr>
        <w:bottom w:val="single" w:sz="4" w:space="1" w:color="auto"/>
      </w:pBdr>
      <w:spacing w:before="200" w:after="280"/>
      <w:ind w:left="1008" w:right="1152"/>
    </w:pPr>
    <w:rPr>
      <w:rFonts w:ascii="Calibri" w:hAnsi="Calibri"/>
      <w:b/>
      <w:bCs/>
      <w:i/>
      <w:iCs/>
      <w:szCs w:val="20"/>
      <w:lang w:val="x-none" w:eastAsia="x-none" w:bidi="ar-SA"/>
    </w:rPr>
  </w:style>
  <w:style w:type="character" w:customStyle="1" w:styleId="MediumGrid3-Accent2Char">
    <w:name w:val="Medium Grid 3 - Accent 2 Char"/>
    <w:link w:val="MediumGrid3-Accent21"/>
    <w:uiPriority w:val="30"/>
    <w:rsid w:val="002F5B6A"/>
    <w:rPr>
      <w:b/>
      <w:bCs/>
      <w:i/>
      <w:iCs/>
    </w:rPr>
  </w:style>
  <w:style w:type="character" w:customStyle="1" w:styleId="PlainTable31">
    <w:name w:val="Plain Table 31"/>
    <w:uiPriority w:val="19"/>
    <w:qFormat/>
    <w:rsid w:val="002F5B6A"/>
    <w:rPr>
      <w:i/>
      <w:iCs/>
    </w:rPr>
  </w:style>
  <w:style w:type="character" w:customStyle="1" w:styleId="PlainTable41">
    <w:name w:val="Plain Table 41"/>
    <w:uiPriority w:val="21"/>
    <w:qFormat/>
    <w:rsid w:val="002F5B6A"/>
    <w:rPr>
      <w:b/>
      <w:bCs/>
    </w:rPr>
  </w:style>
  <w:style w:type="character" w:customStyle="1" w:styleId="PlainTable51">
    <w:name w:val="Plain Table 51"/>
    <w:uiPriority w:val="31"/>
    <w:qFormat/>
    <w:rsid w:val="002F5B6A"/>
    <w:rPr>
      <w:smallCaps/>
    </w:rPr>
  </w:style>
  <w:style w:type="character" w:customStyle="1" w:styleId="TableGridLight1">
    <w:name w:val="Table Grid Light1"/>
    <w:uiPriority w:val="32"/>
    <w:qFormat/>
    <w:rsid w:val="002F5B6A"/>
    <w:rPr>
      <w:smallCaps/>
      <w:spacing w:val="5"/>
      <w:u w:val="single"/>
    </w:rPr>
  </w:style>
  <w:style w:type="character" w:customStyle="1" w:styleId="GridTable1Light1">
    <w:name w:val="Grid Table 1 Light1"/>
    <w:uiPriority w:val="33"/>
    <w:qFormat/>
    <w:rsid w:val="002F5B6A"/>
    <w:rPr>
      <w:i/>
      <w:iCs/>
      <w:smallCaps/>
      <w:spacing w:val="5"/>
    </w:rPr>
  </w:style>
  <w:style w:type="paragraph" w:customStyle="1" w:styleId="GridTable31">
    <w:name w:val="Grid Table 3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Shading1-Accent1Char">
    <w:name w:val="Medium Shading 1 - Accent 1 Char"/>
    <w:aliases w:val="Bob Comments Char,No Spacing Char"/>
    <w:link w:val="MediumShading1-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rPr>
      <w:szCs w:val="20"/>
      <w:lang w:val="x-none" w:eastAsia="x-none"/>
    </w:rPr>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character" w:styleId="FollowedHyperlink">
    <w:name w:val="FollowedHyperlink"/>
    <w:uiPriority w:val="99"/>
    <w:semiHidden/>
    <w:unhideWhenUsed/>
    <w:rsid w:val="00BD3EE9"/>
    <w:rPr>
      <w:color w:val="954F72"/>
      <w:u w:val="single"/>
    </w:rPr>
  </w:style>
  <w:style w:type="paragraph" w:customStyle="1" w:styleId="MediumGrid2-Accent11">
    <w:name w:val="Medium Grid 2 - Accent 11"/>
    <w:basedOn w:val="Normal"/>
    <w:uiPriority w:val="1"/>
    <w:qFormat/>
    <w:rsid w:val="00A6352B"/>
    <w:pPr>
      <w:ind w:left="0"/>
    </w:pPr>
    <w:rPr>
      <w:lang w:val="x-none" w:eastAsia="x-none"/>
    </w:rPr>
  </w:style>
  <w:style w:type="paragraph" w:customStyle="1" w:styleId="ColorfulShading-Accent31">
    <w:name w:val="Colorful Shading - Accent 31"/>
    <w:basedOn w:val="Normal"/>
    <w:uiPriority w:val="34"/>
    <w:qFormat/>
    <w:rsid w:val="00A6352B"/>
    <w:pPr>
      <w:ind w:left="0"/>
      <w:contextualSpacing/>
    </w:pPr>
    <w:rPr>
      <w:szCs w:val="20"/>
    </w:rPr>
  </w:style>
  <w:style w:type="paragraph" w:customStyle="1" w:styleId="Bullet1">
    <w:name w:val="Bullet1"/>
    <w:basedOn w:val="Normal"/>
    <w:link w:val="Bullet1Char"/>
    <w:qFormat/>
    <w:rsid w:val="008A5596"/>
    <w:pPr>
      <w:numPr>
        <w:numId w:val="1"/>
      </w:numPr>
    </w:pPr>
    <w:rPr>
      <w:rFonts w:cs="Arial"/>
      <w:color w:val="000000"/>
      <w:szCs w:val="20"/>
    </w:rPr>
  </w:style>
  <w:style w:type="paragraph" w:styleId="NormalWeb">
    <w:name w:val="Normal (Web)"/>
    <w:basedOn w:val="Normal"/>
    <w:uiPriority w:val="99"/>
    <w:unhideWhenUsed/>
    <w:rsid w:val="00250761"/>
    <w:pPr>
      <w:spacing w:before="100" w:beforeAutospacing="1" w:after="100" w:afterAutospacing="1"/>
      <w:ind w:left="0"/>
    </w:pPr>
    <w:rPr>
      <w:rFonts w:ascii="Times New Roman" w:eastAsia="Times New Roman" w:hAnsi="Times New Roman"/>
      <w:sz w:val="24"/>
      <w:szCs w:val="24"/>
      <w:lang w:bidi="ar-SA"/>
    </w:rPr>
  </w:style>
  <w:style w:type="character" w:customStyle="1" w:styleId="Bullet1Char">
    <w:name w:val="Bullet1 Char"/>
    <w:link w:val="Bullet1"/>
    <w:rsid w:val="008A5596"/>
    <w:rPr>
      <w:rFonts w:ascii="Arial" w:hAnsi="Arial" w:cs="Arial"/>
      <w:color w:val="000000"/>
      <w:lang w:bidi="en-US"/>
    </w:rPr>
  </w:style>
  <w:style w:type="paragraph" w:styleId="PlainText">
    <w:name w:val="Plain Text"/>
    <w:basedOn w:val="Normal"/>
    <w:link w:val="PlainTextChar"/>
    <w:uiPriority w:val="99"/>
    <w:unhideWhenUsed/>
    <w:rsid w:val="00250761"/>
    <w:pPr>
      <w:ind w:left="0"/>
    </w:pPr>
    <w:rPr>
      <w:rFonts w:ascii="Calibri" w:hAnsi="Calibri"/>
      <w:sz w:val="22"/>
      <w:lang w:bidi="ar-SA"/>
    </w:rPr>
  </w:style>
  <w:style w:type="character" w:customStyle="1" w:styleId="PlainTextChar">
    <w:name w:val="Plain Text Char"/>
    <w:link w:val="PlainText"/>
    <w:uiPriority w:val="99"/>
    <w:rsid w:val="00250761"/>
    <w:rPr>
      <w:sz w:val="22"/>
      <w:szCs w:val="22"/>
    </w:rPr>
  </w:style>
  <w:style w:type="paragraph" w:customStyle="1" w:styleId="ColorfulList-Accent11">
    <w:name w:val="Colorful List - Accent 11"/>
    <w:basedOn w:val="Normal"/>
    <w:uiPriority w:val="34"/>
    <w:qFormat/>
    <w:rsid w:val="00160EF0"/>
    <w:pPr>
      <w:ind w:left="720"/>
    </w:pPr>
    <w:rPr>
      <w:rFonts w:ascii="Calibri" w:hAnsi="Calibri"/>
      <w:sz w:val="22"/>
      <w:lang w:bidi="ar-SA"/>
    </w:rPr>
  </w:style>
  <w:style w:type="paragraph" w:styleId="ListParagraph">
    <w:name w:val="List Paragraph"/>
    <w:basedOn w:val="Normal"/>
    <w:uiPriority w:val="34"/>
    <w:qFormat/>
    <w:rsid w:val="00005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1324552562">
      <w:bodyDiv w:val="1"/>
      <w:marLeft w:val="0"/>
      <w:marRight w:val="0"/>
      <w:marTop w:val="0"/>
      <w:marBottom w:val="0"/>
      <w:divBdr>
        <w:top w:val="none" w:sz="0" w:space="0" w:color="auto"/>
        <w:left w:val="none" w:sz="0" w:space="0" w:color="auto"/>
        <w:bottom w:val="none" w:sz="0" w:space="0" w:color="auto"/>
        <w:right w:val="none" w:sz="0" w:space="0" w:color="auto"/>
      </w:divBdr>
      <w:divsChild>
        <w:div w:id="301733547">
          <w:marLeft w:val="2520"/>
          <w:marRight w:val="0"/>
          <w:marTop w:val="96"/>
          <w:marBottom w:val="0"/>
          <w:divBdr>
            <w:top w:val="none" w:sz="0" w:space="0" w:color="auto"/>
            <w:left w:val="none" w:sz="0" w:space="0" w:color="auto"/>
            <w:bottom w:val="none" w:sz="0" w:space="0" w:color="auto"/>
            <w:right w:val="none" w:sz="0" w:space="0" w:color="auto"/>
          </w:divBdr>
        </w:div>
        <w:div w:id="713384564">
          <w:marLeft w:val="1166"/>
          <w:marRight w:val="0"/>
          <w:marTop w:val="115"/>
          <w:marBottom w:val="0"/>
          <w:divBdr>
            <w:top w:val="none" w:sz="0" w:space="0" w:color="auto"/>
            <w:left w:val="none" w:sz="0" w:space="0" w:color="auto"/>
            <w:bottom w:val="none" w:sz="0" w:space="0" w:color="auto"/>
            <w:right w:val="none" w:sz="0" w:space="0" w:color="auto"/>
          </w:divBdr>
        </w:div>
        <w:div w:id="933324465">
          <w:marLeft w:val="1800"/>
          <w:marRight w:val="0"/>
          <w:marTop w:val="96"/>
          <w:marBottom w:val="0"/>
          <w:divBdr>
            <w:top w:val="none" w:sz="0" w:space="0" w:color="auto"/>
            <w:left w:val="none" w:sz="0" w:space="0" w:color="auto"/>
            <w:bottom w:val="none" w:sz="0" w:space="0" w:color="auto"/>
            <w:right w:val="none" w:sz="0" w:space="0" w:color="auto"/>
          </w:divBdr>
        </w:div>
        <w:div w:id="1145588080">
          <w:marLeft w:val="547"/>
          <w:marRight w:val="0"/>
          <w:marTop w:val="134"/>
          <w:marBottom w:val="0"/>
          <w:divBdr>
            <w:top w:val="none" w:sz="0" w:space="0" w:color="auto"/>
            <w:left w:val="none" w:sz="0" w:space="0" w:color="auto"/>
            <w:bottom w:val="none" w:sz="0" w:space="0" w:color="auto"/>
            <w:right w:val="none" w:sz="0" w:space="0" w:color="auto"/>
          </w:divBdr>
        </w:div>
        <w:div w:id="1535969933">
          <w:marLeft w:val="1800"/>
          <w:marRight w:val="0"/>
          <w:marTop w:val="96"/>
          <w:marBottom w:val="0"/>
          <w:divBdr>
            <w:top w:val="none" w:sz="0" w:space="0" w:color="auto"/>
            <w:left w:val="none" w:sz="0" w:space="0" w:color="auto"/>
            <w:bottom w:val="none" w:sz="0" w:space="0" w:color="auto"/>
            <w:right w:val="none" w:sz="0" w:space="0" w:color="auto"/>
          </w:divBdr>
        </w:div>
        <w:div w:id="1540387970">
          <w:marLeft w:val="2520"/>
          <w:marRight w:val="0"/>
          <w:marTop w:val="96"/>
          <w:marBottom w:val="0"/>
          <w:divBdr>
            <w:top w:val="none" w:sz="0" w:space="0" w:color="auto"/>
            <w:left w:val="none" w:sz="0" w:space="0" w:color="auto"/>
            <w:bottom w:val="none" w:sz="0" w:space="0" w:color="auto"/>
            <w:right w:val="none" w:sz="0" w:space="0" w:color="auto"/>
          </w:divBdr>
        </w:div>
        <w:div w:id="2092464997">
          <w:marLeft w:val="1800"/>
          <w:marRight w:val="0"/>
          <w:marTop w:val="96"/>
          <w:marBottom w:val="0"/>
          <w:divBdr>
            <w:top w:val="none" w:sz="0" w:space="0" w:color="auto"/>
            <w:left w:val="none" w:sz="0" w:space="0" w:color="auto"/>
            <w:bottom w:val="none" w:sz="0" w:space="0" w:color="auto"/>
            <w:right w:val="none" w:sz="0" w:space="0" w:color="auto"/>
          </w:divBdr>
        </w:div>
        <w:div w:id="2096897205">
          <w:marLeft w:val="1166"/>
          <w:marRight w:val="0"/>
          <w:marTop w:val="115"/>
          <w:marBottom w:val="0"/>
          <w:divBdr>
            <w:top w:val="none" w:sz="0" w:space="0" w:color="auto"/>
            <w:left w:val="none" w:sz="0" w:space="0" w:color="auto"/>
            <w:bottom w:val="none" w:sz="0" w:space="0" w:color="auto"/>
            <w:right w:val="none" w:sz="0" w:space="0" w:color="auto"/>
          </w:divBdr>
        </w:div>
      </w:divsChild>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24AC79CEC365A42A9574E8B4DBDF8C9" ma:contentTypeVersion="13" ma:contentTypeDescription="Create a new document." ma:contentTypeScope="" ma:versionID="73b5eaed920eaa2d5e19d2ba936c0229">
  <xsd:schema xmlns:xsd="http://www.w3.org/2001/XMLSchema" xmlns:xs="http://www.w3.org/2001/XMLSchema" xmlns:p="http://schemas.microsoft.com/office/2006/metadata/properties" xmlns:ns3="1a693736-d80d-432d-9177-296c4a5791e6" xmlns:ns4="0b6b41ce-8c66-4c23-83b8-93e3b97deb64" targetNamespace="http://schemas.microsoft.com/office/2006/metadata/properties" ma:root="true" ma:fieldsID="ba64383070add854276d594039293870" ns3:_="" ns4:_="">
    <xsd:import namespace="1a693736-d80d-432d-9177-296c4a5791e6"/>
    <xsd:import namespace="0b6b41ce-8c66-4c23-83b8-93e3b97deb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93736-d80d-432d-9177-296c4a5791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6b41ce-8c66-4c23-83b8-93e3b97deb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915EF6-059D-4BC5-AA82-D583402B66E1}">
  <ds:schemaRefs>
    <ds:schemaRef ds:uri="http://schemas.microsoft.com/sharepoint/v3/contenttype/forms"/>
  </ds:schemaRefs>
</ds:datastoreItem>
</file>

<file path=customXml/itemProps2.xml><?xml version="1.0" encoding="utf-8"?>
<ds:datastoreItem xmlns:ds="http://schemas.openxmlformats.org/officeDocument/2006/customXml" ds:itemID="{84406966-A1AB-4C10-9BBC-276A3B2C31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2CCE67-6601-4E48-967E-D180BB87FCF7}">
  <ds:schemaRefs>
    <ds:schemaRef ds:uri="http://schemas.openxmlformats.org/officeDocument/2006/bibliography"/>
  </ds:schemaRefs>
</ds:datastoreItem>
</file>

<file path=customXml/itemProps4.xml><?xml version="1.0" encoding="utf-8"?>
<ds:datastoreItem xmlns:ds="http://schemas.openxmlformats.org/officeDocument/2006/customXml" ds:itemID="{CE9370BE-4F0B-49B1-8896-6C7F7D543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93736-d80d-432d-9177-296c4a5791e6"/>
    <ds:schemaRef ds:uri="0b6b41ce-8c66-4c23-83b8-93e3b97de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2537</Words>
  <Characters>14465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16969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cp:lastModifiedBy>Ben James</cp:lastModifiedBy>
  <cp:revision>2</cp:revision>
  <cp:lastPrinted>2015-06-14T11:42:00Z</cp:lastPrinted>
  <dcterms:created xsi:type="dcterms:W3CDTF">2021-09-03T15:32:00Z</dcterms:created>
  <dcterms:modified xsi:type="dcterms:W3CDTF">2021-09-03T15:32:00Z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0x010100824AC79CEC365A42A9574E8B4DBDF8C9</vt:lpwstr>
  </property>
</Properties>
</file>