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6192"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9264"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56F9AF0D" w14:textId="77777777" w:rsidR="003443F3" w:rsidRDefault="003443F3" w:rsidP="003443F3">
      <w:pPr>
        <w:pStyle w:val="MediumGrid2-Accent11"/>
        <w:rPr>
          <w:lang w:val="en-US"/>
        </w:rPr>
      </w:pPr>
    </w:p>
    <w:p w14:paraId="05881C89" w14:textId="77777777" w:rsidR="0031633B" w:rsidRDefault="0031633B" w:rsidP="009F128D">
      <w:pPr>
        <w:pStyle w:val="MediumShading1-Accent11"/>
        <w:ind w:left="0"/>
        <w:rPr>
          <w:rFonts w:cs="Arial"/>
          <w:i/>
          <w:sz w:val="16"/>
          <w:szCs w:val="16"/>
        </w:rPr>
      </w:pPr>
    </w:p>
    <w:p w14:paraId="1CAFF26C" w14:textId="51CFF252" w:rsidR="00294764" w:rsidRDefault="00C043D7" w:rsidP="00294764">
      <w:pPr>
        <w:ind w:left="0"/>
        <w:rPr>
          <w:b/>
          <w:bCs/>
        </w:rPr>
      </w:pPr>
      <w:r>
        <w:rPr>
          <w:b/>
          <w:bCs/>
        </w:rPr>
        <w:t xml:space="preserve">IRS Releases Additional </w:t>
      </w:r>
      <w:r w:rsidR="00F14700">
        <w:rPr>
          <w:b/>
          <w:bCs/>
        </w:rPr>
        <w:t>COBRA</w:t>
      </w:r>
      <w:r>
        <w:rPr>
          <w:b/>
          <w:bCs/>
        </w:rPr>
        <w:t xml:space="preserve"> Subsidy Guidance</w:t>
      </w:r>
    </w:p>
    <w:p w14:paraId="1F95A2CD" w14:textId="55F6E1F4" w:rsidR="00B53DB6" w:rsidRDefault="00B53DB6" w:rsidP="00294764">
      <w:pPr>
        <w:ind w:left="0"/>
        <w:rPr>
          <w:b/>
          <w:bCs/>
        </w:rPr>
      </w:pPr>
    </w:p>
    <w:p w14:paraId="6B168B43" w14:textId="1B983336" w:rsidR="00A15F94" w:rsidRPr="00D20E25" w:rsidRDefault="00A15F94" w:rsidP="00A15F94">
      <w:pPr>
        <w:ind w:left="0"/>
      </w:pPr>
      <w:r w:rsidRPr="00D20E25">
        <w:t xml:space="preserve">Issue Date: </w:t>
      </w:r>
      <w:r w:rsidR="00C043D7">
        <w:t>May 21</w:t>
      </w:r>
      <w:r>
        <w:t>, 2021</w:t>
      </w:r>
    </w:p>
    <w:p w14:paraId="7B473231" w14:textId="77777777" w:rsidR="00B53DB6" w:rsidRPr="00D37EC3" w:rsidRDefault="00B53DB6" w:rsidP="00294764">
      <w:pPr>
        <w:ind w:left="0"/>
        <w:rPr>
          <w:b/>
          <w:bCs/>
        </w:rPr>
      </w:pPr>
    </w:p>
    <w:p w14:paraId="20260605" w14:textId="62333CAB" w:rsidR="00C043D7" w:rsidRDefault="00C043D7" w:rsidP="007E1851">
      <w:pPr>
        <w:ind w:left="0"/>
      </w:pPr>
      <w:r w:rsidRPr="00C043D7">
        <w:t xml:space="preserve">The Internal Revenue Service </w:t>
      </w:r>
      <w:r>
        <w:t>(IRS) has</w:t>
      </w:r>
      <w:r w:rsidRPr="00C043D7">
        <w:t xml:space="preserve"> issued</w:t>
      </w:r>
      <w:r>
        <w:t xml:space="preserve"> N</w:t>
      </w:r>
      <w:r w:rsidRPr="00C043D7">
        <w:t>otice 2021</w:t>
      </w:r>
      <w:r>
        <w:t>-31</w:t>
      </w:r>
      <w:r w:rsidRPr="00C043D7">
        <w:t xml:space="preserve"> </w:t>
      </w:r>
      <w:r w:rsidR="000054A5">
        <w:t>(</w:t>
      </w:r>
      <w:r w:rsidR="001E1A6D">
        <w:t>t</w:t>
      </w:r>
      <w:r w:rsidR="000054A5">
        <w:t xml:space="preserve">he Notice) </w:t>
      </w:r>
      <w:r w:rsidRPr="00C043D7">
        <w:t xml:space="preserve">which includes significant guidance regarding the American </w:t>
      </w:r>
      <w:r>
        <w:t>R</w:t>
      </w:r>
      <w:r w:rsidRPr="00C043D7">
        <w:t xml:space="preserve">escue </w:t>
      </w:r>
      <w:r>
        <w:t>P</w:t>
      </w:r>
      <w:r w:rsidRPr="00C043D7">
        <w:t xml:space="preserve">lan </w:t>
      </w:r>
      <w:r w:rsidR="000054A5">
        <w:t xml:space="preserve">(ARP) </w:t>
      </w:r>
      <w:r w:rsidR="00F14700">
        <w:t>COBRA</w:t>
      </w:r>
      <w:r w:rsidRPr="00C043D7">
        <w:t xml:space="preserve"> subsidy.</w:t>
      </w:r>
      <w:r>
        <w:t xml:space="preserve"> </w:t>
      </w:r>
      <w:r w:rsidR="00A67CD5">
        <w:t>The Notice</w:t>
      </w:r>
      <w:r w:rsidRPr="00C043D7">
        <w:t xml:space="preserve"> answers some of the outstanding questions employers have</w:t>
      </w:r>
      <w:r>
        <w:t xml:space="preserve"> </w:t>
      </w:r>
      <w:r w:rsidRPr="00C043D7">
        <w:t xml:space="preserve">and provides clarification to </w:t>
      </w:r>
      <w:r w:rsidR="000054A5">
        <w:t xml:space="preserve">other </w:t>
      </w:r>
      <w:r w:rsidRPr="00C043D7">
        <w:t xml:space="preserve">important </w:t>
      </w:r>
      <w:r w:rsidR="00F14700">
        <w:t>COBRA</w:t>
      </w:r>
      <w:r w:rsidRPr="00C043D7">
        <w:t xml:space="preserve"> subsidy</w:t>
      </w:r>
      <w:r>
        <w:t xml:space="preserve"> </w:t>
      </w:r>
      <w:r w:rsidRPr="00C043D7">
        <w:t>issues</w:t>
      </w:r>
      <w:r>
        <w:t>.</w:t>
      </w:r>
      <w:r w:rsidR="001E1A6D">
        <w:t xml:space="preserve"> </w:t>
      </w:r>
    </w:p>
    <w:p w14:paraId="7AD8B004" w14:textId="65E57533" w:rsidR="00C043D7" w:rsidRDefault="00C043D7" w:rsidP="007E1851">
      <w:pPr>
        <w:ind w:left="0"/>
      </w:pPr>
    </w:p>
    <w:p w14:paraId="2ECE0729" w14:textId="5728E717" w:rsidR="00C043D7" w:rsidRPr="000C67C1" w:rsidRDefault="00C043D7" w:rsidP="007E1851">
      <w:pPr>
        <w:ind w:left="0"/>
        <w:rPr>
          <w:b/>
          <w:bCs/>
        </w:rPr>
      </w:pPr>
      <w:r w:rsidRPr="000C67C1">
        <w:rPr>
          <w:b/>
          <w:bCs/>
        </w:rPr>
        <w:t>Overview</w:t>
      </w:r>
    </w:p>
    <w:p w14:paraId="57364AE6" w14:textId="58E448D2" w:rsidR="00C043D7" w:rsidRDefault="00C043D7" w:rsidP="007E1851">
      <w:pPr>
        <w:ind w:left="0"/>
      </w:pPr>
    </w:p>
    <w:p w14:paraId="48CA9660" w14:textId="712CADEF" w:rsidR="00C043D7" w:rsidRDefault="00C043D7" w:rsidP="007E1851">
      <w:pPr>
        <w:ind w:left="0"/>
      </w:pPr>
      <w:r w:rsidRPr="00C043D7">
        <w:t xml:space="preserve">The </w:t>
      </w:r>
      <w:r w:rsidR="006000DE">
        <w:t>N</w:t>
      </w:r>
      <w:r w:rsidRPr="00C043D7">
        <w:t xml:space="preserve">otice includes a summary of the </w:t>
      </w:r>
      <w:r w:rsidR="00F14700">
        <w:t>COBRA</w:t>
      </w:r>
      <w:r w:rsidRPr="00C043D7">
        <w:t xml:space="preserve"> subsidy requirement, a review of the emergency notice relief issued last year, and a Q&amp;A section with 86 questions and answers.</w:t>
      </w:r>
      <w:r>
        <w:t xml:space="preserve"> </w:t>
      </w:r>
      <w:r w:rsidRPr="00C043D7">
        <w:t>The Q&amp;A section is divided</w:t>
      </w:r>
      <w:r>
        <w:t xml:space="preserve"> </w:t>
      </w:r>
      <w:r w:rsidRPr="00C043D7">
        <w:t xml:space="preserve">into subsections </w:t>
      </w:r>
      <w:r w:rsidR="0016396D">
        <w:t>addressing specific topics</w:t>
      </w:r>
      <w:r w:rsidR="002668ED">
        <w:t>,</w:t>
      </w:r>
      <w:r w:rsidR="0016396D">
        <w:t xml:space="preserve"> </w:t>
      </w:r>
      <w:r w:rsidR="001F6925">
        <w:t>including</w:t>
      </w:r>
      <w:r w:rsidRPr="00C043D7">
        <w:t xml:space="preserve"> eligibility for the subsidy, reduction in hours, involuntary termination of employment, coverage that is eligible for the subsidy, details regarding the beginning and end of the subsid</w:t>
      </w:r>
      <w:r>
        <w:t xml:space="preserve">y period, </w:t>
      </w:r>
      <w:r w:rsidR="0016396D" w:rsidRPr="0016396D">
        <w:t>how to treat extended election periods,</w:t>
      </w:r>
      <w:r w:rsidR="00320B26">
        <w:t xml:space="preserve"> </w:t>
      </w:r>
      <w:r w:rsidR="00320B26" w:rsidRPr="00320B26">
        <w:t>coordination of coverage with emergency extension rules,</w:t>
      </w:r>
      <w:r w:rsidR="00320B26">
        <w:t xml:space="preserve"> </w:t>
      </w:r>
      <w:r w:rsidR="00320B26" w:rsidRPr="00320B26">
        <w:t>state continuation issues, and significant clarification and guidance on employer payroll tax credits.</w:t>
      </w:r>
    </w:p>
    <w:p w14:paraId="5CA727E0" w14:textId="13B1AC8C" w:rsidR="000C67C1" w:rsidRDefault="000C67C1" w:rsidP="007E1851">
      <w:pPr>
        <w:ind w:left="0"/>
      </w:pPr>
    </w:p>
    <w:p w14:paraId="2235271E" w14:textId="319CA67F" w:rsidR="000C67C1" w:rsidRPr="000C67C1" w:rsidRDefault="000054A5" w:rsidP="007E1851">
      <w:pPr>
        <w:ind w:left="0"/>
        <w:rPr>
          <w:b/>
          <w:bCs/>
        </w:rPr>
      </w:pPr>
      <w:r>
        <w:rPr>
          <w:b/>
          <w:bCs/>
        </w:rPr>
        <w:t xml:space="preserve">Interesting and </w:t>
      </w:r>
      <w:r w:rsidR="000C67C1" w:rsidRPr="000C67C1">
        <w:rPr>
          <w:b/>
          <w:bCs/>
        </w:rPr>
        <w:t>Significant Guidance Included in Notice 2021-31</w:t>
      </w:r>
    </w:p>
    <w:p w14:paraId="66E29ADE" w14:textId="1E5C1AFB" w:rsidR="00320B26" w:rsidRDefault="00320B26" w:rsidP="007E1851">
      <w:pPr>
        <w:ind w:left="0"/>
      </w:pPr>
    </w:p>
    <w:p w14:paraId="4E83CAFA" w14:textId="432056C4" w:rsidR="00320B26" w:rsidRDefault="00320B26" w:rsidP="007E1851">
      <w:pPr>
        <w:ind w:left="0"/>
      </w:pPr>
      <w:r w:rsidRPr="00320B26">
        <w:t xml:space="preserve">Much of the guidance confirms what was already clear from the </w:t>
      </w:r>
      <w:r w:rsidR="000054A5" w:rsidRPr="00320B26">
        <w:t>statute</w:t>
      </w:r>
      <w:r w:rsidR="000054A5">
        <w:t xml:space="preserve"> or</w:t>
      </w:r>
      <w:r w:rsidRPr="00320B26">
        <w:t xml:space="preserve"> had been addressed in the 20</w:t>
      </w:r>
      <w:r w:rsidR="000054A5">
        <w:t>0</w:t>
      </w:r>
      <w:r w:rsidRPr="00320B26">
        <w:t xml:space="preserve">9 </w:t>
      </w:r>
      <w:r>
        <w:t xml:space="preserve">ARRA </w:t>
      </w:r>
      <w:r w:rsidR="00F14700">
        <w:t>COBRA</w:t>
      </w:r>
      <w:r w:rsidRPr="00320B26">
        <w:t xml:space="preserve"> subsidy guidance</w:t>
      </w:r>
      <w:r>
        <w:t xml:space="preserve">, </w:t>
      </w:r>
      <w:r w:rsidR="000C67C1" w:rsidRPr="000C67C1">
        <w:t xml:space="preserve">but there are </w:t>
      </w:r>
      <w:r w:rsidR="002668ED">
        <w:t>several</w:t>
      </w:r>
      <w:r w:rsidR="000C67C1" w:rsidRPr="000C67C1">
        <w:t xml:space="preserve"> significant clarifications </w:t>
      </w:r>
      <w:r w:rsidR="000054A5">
        <w:t xml:space="preserve">and </w:t>
      </w:r>
      <w:r w:rsidR="000C67C1" w:rsidRPr="000C67C1">
        <w:t xml:space="preserve">new information that we will summarize </w:t>
      </w:r>
      <w:r w:rsidR="000C67C1">
        <w:t>i</w:t>
      </w:r>
      <w:r w:rsidR="000C67C1" w:rsidRPr="000C67C1">
        <w:t>n this review.</w:t>
      </w:r>
    </w:p>
    <w:p w14:paraId="4030C275" w14:textId="29A0C7D0" w:rsidR="000C67C1" w:rsidRDefault="000C67C1" w:rsidP="007E1851">
      <w:pPr>
        <w:ind w:left="0"/>
      </w:pPr>
    </w:p>
    <w:p w14:paraId="181E5114" w14:textId="454688EB" w:rsidR="000C67C1" w:rsidRPr="000C67C1" w:rsidRDefault="000C67C1" w:rsidP="007E1851">
      <w:pPr>
        <w:ind w:left="0"/>
        <w:rPr>
          <w:u w:val="single"/>
        </w:rPr>
      </w:pPr>
      <w:r w:rsidRPr="000C67C1">
        <w:rPr>
          <w:u w:val="single"/>
        </w:rPr>
        <w:t>Assistance Eligible Individuals (AEIs) and Eligibility for the Subsidy</w:t>
      </w:r>
    </w:p>
    <w:p w14:paraId="5F9630B2" w14:textId="77777777" w:rsidR="000C67C1" w:rsidRDefault="000C67C1" w:rsidP="007E1851">
      <w:pPr>
        <w:ind w:left="0"/>
      </w:pPr>
    </w:p>
    <w:p w14:paraId="3C661D1A" w14:textId="65310A59" w:rsidR="00C043D7" w:rsidRDefault="000C67C1" w:rsidP="007E1851">
      <w:pPr>
        <w:ind w:left="0"/>
      </w:pPr>
      <w:r>
        <w:t>Generally, individuals are not subsidy</w:t>
      </w:r>
      <w:r w:rsidR="002668ED">
        <w:t>-</w:t>
      </w:r>
      <w:r>
        <w:t xml:space="preserve">eligible if they are eligible, or become </w:t>
      </w:r>
      <w:r w:rsidR="002668ED">
        <w:t>eligible</w:t>
      </w:r>
      <w:r w:rsidR="000054A5">
        <w:t>,</w:t>
      </w:r>
      <w:r>
        <w:t xml:space="preserve"> for other group health plan coverage or Medicare. </w:t>
      </w:r>
      <w:r w:rsidR="00D312C0">
        <w:t xml:space="preserve">The </w:t>
      </w:r>
      <w:r>
        <w:t xml:space="preserve">Notice addresses </w:t>
      </w:r>
      <w:r w:rsidR="002668ED">
        <w:t>several</w:t>
      </w:r>
      <w:r>
        <w:t xml:space="preserve"> specific eligibility issues.</w:t>
      </w:r>
    </w:p>
    <w:p w14:paraId="681C3B5D" w14:textId="77777777" w:rsidR="000C67C1" w:rsidRDefault="000C67C1" w:rsidP="007E1851">
      <w:pPr>
        <w:ind w:left="0"/>
      </w:pPr>
    </w:p>
    <w:p w14:paraId="4E000D75" w14:textId="7A1D1427" w:rsidR="000C67C1" w:rsidRDefault="000C67C1" w:rsidP="000C67C1">
      <w:pPr>
        <w:pStyle w:val="ListParagraph"/>
        <w:numPr>
          <w:ilvl w:val="0"/>
          <w:numId w:val="31"/>
        </w:numPr>
      </w:pPr>
      <w:r>
        <w:t>Q&amp;A #9 clarifies that a</w:t>
      </w:r>
      <w:r w:rsidR="007E1851">
        <w:t xml:space="preserve">n individual is only </w:t>
      </w:r>
      <w:r>
        <w:t xml:space="preserve">considered </w:t>
      </w:r>
      <w:r w:rsidR="007E1851">
        <w:t xml:space="preserve">eligible for other group health plan coverage if the individual </w:t>
      </w:r>
      <w:proofErr w:type="gramStart"/>
      <w:r w:rsidR="007E1851">
        <w:t xml:space="preserve">is </w:t>
      </w:r>
      <w:r w:rsidR="002668ED">
        <w:t>able</w:t>
      </w:r>
      <w:r w:rsidR="007E1851">
        <w:t xml:space="preserve"> to</w:t>
      </w:r>
      <w:proofErr w:type="gramEnd"/>
      <w:r w:rsidR="007E1851">
        <w:t xml:space="preserve"> enroll in the coverage during the April – September 2021 time frame.</w:t>
      </w:r>
      <w:r w:rsidR="00D312C0">
        <w:t xml:space="preserve"> Examples in the Notice include:</w:t>
      </w:r>
    </w:p>
    <w:p w14:paraId="4C28D7DF" w14:textId="77777777" w:rsidR="000C67C1" w:rsidRDefault="007E1851" w:rsidP="000C67C1">
      <w:pPr>
        <w:pStyle w:val="ListParagraph"/>
        <w:numPr>
          <w:ilvl w:val="1"/>
          <w:numId w:val="31"/>
        </w:numPr>
      </w:pPr>
      <w:r>
        <w:t>If the individual is in a waiting period, the individual is not eligible for other group health plan coverage.</w:t>
      </w:r>
    </w:p>
    <w:p w14:paraId="7578E269" w14:textId="43F1F080" w:rsidR="000C67C1" w:rsidRDefault="007E1851" w:rsidP="000C67C1">
      <w:pPr>
        <w:pStyle w:val="ListParagraph"/>
        <w:numPr>
          <w:ilvl w:val="1"/>
          <w:numId w:val="31"/>
        </w:numPr>
      </w:pPr>
      <w:r>
        <w:t xml:space="preserve">If the individual waived at open enrollment and </w:t>
      </w:r>
      <w:proofErr w:type="gramStart"/>
      <w:r>
        <w:t>won’t</w:t>
      </w:r>
      <w:proofErr w:type="gramEnd"/>
      <w:r>
        <w:t xml:space="preserve"> have another opportunity to enroll until next open enrollment, the individual is not </w:t>
      </w:r>
      <w:r w:rsidR="00D312C0">
        <w:t xml:space="preserve">considered </w:t>
      </w:r>
      <w:r>
        <w:t>eligible for other group health plan coverage.</w:t>
      </w:r>
    </w:p>
    <w:p w14:paraId="6DA12844" w14:textId="477D8609" w:rsidR="000C67C1" w:rsidRDefault="007E1851" w:rsidP="000C67C1">
      <w:pPr>
        <w:pStyle w:val="ListParagraph"/>
        <w:numPr>
          <w:ilvl w:val="1"/>
          <w:numId w:val="31"/>
        </w:numPr>
      </w:pPr>
      <w:r>
        <w:t>If the individual could exercise a HIPAA special enrollment right mid-plan year due to the extended time frame currently available during the Outbreak Period, the individual is eligible for other group health plan coverage</w:t>
      </w:r>
      <w:r w:rsidR="00D312C0">
        <w:t xml:space="preserve"> and would not be subsidy eligible.</w:t>
      </w:r>
    </w:p>
    <w:p w14:paraId="64C8BD63" w14:textId="0C5F5E75" w:rsidR="00376797" w:rsidRPr="005D5FC9" w:rsidRDefault="002668ED" w:rsidP="00376797">
      <w:pPr>
        <w:pStyle w:val="ListParagraph"/>
        <w:numPr>
          <w:ilvl w:val="0"/>
          <w:numId w:val="31"/>
        </w:numPr>
      </w:pPr>
      <w:r w:rsidRPr="005D5FC9">
        <w:t>Q&amp;A 10 clarifies that a</w:t>
      </w:r>
      <w:r w:rsidR="007E1851" w:rsidRPr="005D5FC9">
        <w:t xml:space="preserve"> qualified beneficiary who became eligible for, or even enrolled in, other group health plan coverage prior to April 1, 2021</w:t>
      </w:r>
      <w:r w:rsidR="00D312C0" w:rsidRPr="005D5FC9">
        <w:t>,</w:t>
      </w:r>
      <w:r w:rsidR="007E1851" w:rsidRPr="005D5FC9">
        <w:t xml:space="preserve"> but who </w:t>
      </w:r>
      <w:r w:rsidR="00D312C0" w:rsidRPr="005D5FC9">
        <w:t xml:space="preserve">has subsequently </w:t>
      </w:r>
      <w:r w:rsidR="007E1851" w:rsidRPr="005D5FC9">
        <w:t>lost eligibility for such coverage</w:t>
      </w:r>
      <w:r w:rsidR="00D312C0" w:rsidRPr="005D5FC9">
        <w:t>,</w:t>
      </w:r>
      <w:r w:rsidR="007E1851" w:rsidRPr="005D5FC9">
        <w:t xml:space="preserve"> is still eligible for the </w:t>
      </w:r>
      <w:r w:rsidR="00F14700" w:rsidRPr="005D5FC9">
        <w:t>COBRA</w:t>
      </w:r>
      <w:r w:rsidR="007E1851" w:rsidRPr="005D5FC9">
        <w:t xml:space="preserve"> subsidy as of April 1, 2021.</w:t>
      </w:r>
      <w:r w:rsidR="000C67C1" w:rsidRPr="005D5FC9">
        <w:t xml:space="preserve"> </w:t>
      </w:r>
    </w:p>
    <w:p w14:paraId="0FBB8052" w14:textId="402720E8" w:rsidR="005D5FC9" w:rsidRPr="005D5FC9" w:rsidRDefault="005D5FC9" w:rsidP="005D5FC9">
      <w:pPr>
        <w:pStyle w:val="ListParagraph"/>
        <w:numPr>
          <w:ilvl w:val="0"/>
          <w:numId w:val="31"/>
        </w:numPr>
      </w:pPr>
      <w:r w:rsidRPr="005D5FC9">
        <w:t>Employers will often not know if someone is eligible for other group coverage or Medicare. The Notice states, while not necessary, an employer can require the individual to self-certify their eligibility. The Department of Labor recently issued a form that can be used for this purpose when they released the model COBRA subsidy notices.</w:t>
      </w:r>
    </w:p>
    <w:p w14:paraId="7282EAFB" w14:textId="6996543C" w:rsidR="00645628" w:rsidRDefault="00645628" w:rsidP="000C67C1">
      <w:pPr>
        <w:ind w:left="0"/>
        <w:rPr>
          <w:u w:val="single"/>
        </w:rPr>
      </w:pPr>
    </w:p>
    <w:p w14:paraId="472A7E67" w14:textId="444011E1" w:rsidR="006E5EDF" w:rsidRDefault="006E5EDF" w:rsidP="000C67C1">
      <w:pPr>
        <w:ind w:left="0"/>
        <w:rPr>
          <w:u w:val="single"/>
        </w:rPr>
      </w:pPr>
    </w:p>
    <w:p w14:paraId="68FAC41F" w14:textId="7742BBDD" w:rsidR="006E5EDF" w:rsidRDefault="006E5EDF" w:rsidP="000C67C1">
      <w:pPr>
        <w:ind w:left="0"/>
        <w:rPr>
          <w:u w:val="single"/>
        </w:rPr>
      </w:pPr>
    </w:p>
    <w:p w14:paraId="562E0EFC" w14:textId="77777777" w:rsidR="006E5EDF" w:rsidRDefault="006E5EDF" w:rsidP="000C67C1">
      <w:pPr>
        <w:ind w:left="0"/>
        <w:rPr>
          <w:u w:val="single"/>
        </w:rPr>
      </w:pPr>
    </w:p>
    <w:p w14:paraId="0AD30B11" w14:textId="79DC9A76" w:rsidR="000C67C1" w:rsidRPr="000C67C1" w:rsidRDefault="000C67C1" w:rsidP="000C67C1">
      <w:pPr>
        <w:ind w:left="0"/>
        <w:rPr>
          <w:u w:val="single"/>
        </w:rPr>
      </w:pPr>
      <w:r w:rsidRPr="000C67C1">
        <w:rPr>
          <w:u w:val="single"/>
        </w:rPr>
        <w:t>Extended Periods of Continuation Coverage</w:t>
      </w:r>
      <w:r w:rsidR="00376797">
        <w:rPr>
          <w:u w:val="single"/>
        </w:rPr>
        <w:t xml:space="preserve"> and Second Chance Enrollments</w:t>
      </w:r>
    </w:p>
    <w:p w14:paraId="760ACD57" w14:textId="41691112" w:rsidR="000C67C1" w:rsidRDefault="000C67C1" w:rsidP="007E1851">
      <w:pPr>
        <w:ind w:left="0"/>
      </w:pPr>
    </w:p>
    <w:p w14:paraId="76C0B7E0" w14:textId="1323D6CC" w:rsidR="000C67C1" w:rsidRDefault="00131270" w:rsidP="007E1851">
      <w:pPr>
        <w:ind w:left="0"/>
      </w:pPr>
      <w:r>
        <w:t xml:space="preserve">The </w:t>
      </w:r>
      <w:r w:rsidR="00F14700">
        <w:t>COBRA</w:t>
      </w:r>
      <w:r w:rsidRPr="00131270">
        <w:t xml:space="preserve"> subsidy</w:t>
      </w:r>
      <w:r>
        <w:t>, and a second chance to enroll,</w:t>
      </w:r>
      <w:r w:rsidRPr="00131270">
        <w:t xml:space="preserve"> is available to individuals who had a</w:t>
      </w:r>
      <w:r>
        <w:t xml:space="preserve"> subsidy</w:t>
      </w:r>
      <w:r w:rsidR="002668ED">
        <w:t>-</w:t>
      </w:r>
      <w:r w:rsidR="00D312C0">
        <w:t xml:space="preserve">eligible </w:t>
      </w:r>
      <w:r>
        <w:t>triggering</w:t>
      </w:r>
      <w:r w:rsidRPr="00131270">
        <w:t xml:space="preserve"> qualifying event</w:t>
      </w:r>
      <w:r w:rsidR="00D312C0">
        <w:t>,</w:t>
      </w:r>
      <w:r w:rsidRPr="00131270">
        <w:t xml:space="preserve"> but did not elect </w:t>
      </w:r>
      <w:r w:rsidR="00F14700">
        <w:t>COBRA</w:t>
      </w:r>
      <w:r>
        <w:t>,</w:t>
      </w:r>
      <w:r w:rsidRPr="00131270">
        <w:t xml:space="preserve"> or </w:t>
      </w:r>
      <w:r>
        <w:t xml:space="preserve">who </w:t>
      </w:r>
      <w:r w:rsidRPr="00131270">
        <w:t xml:space="preserve">elected </w:t>
      </w:r>
      <w:r w:rsidR="00F14700">
        <w:t>COBRA</w:t>
      </w:r>
      <w:r>
        <w:t xml:space="preserve"> </w:t>
      </w:r>
      <w:r w:rsidRPr="00131270">
        <w:t>and subsequently dropped it</w:t>
      </w:r>
      <w:r w:rsidR="00D312C0">
        <w:t xml:space="preserve">. This second chance to enroll applies to AEIs who are </w:t>
      </w:r>
      <w:r w:rsidRPr="00131270">
        <w:t xml:space="preserve">still within their </w:t>
      </w:r>
      <w:r w:rsidR="00D312C0">
        <w:t>“</w:t>
      </w:r>
      <w:r w:rsidRPr="00131270">
        <w:t xml:space="preserve">maximum </w:t>
      </w:r>
      <w:r w:rsidR="00D312C0">
        <w:t xml:space="preserve">continuation </w:t>
      </w:r>
      <w:r w:rsidRPr="00131270">
        <w:t>coverage</w:t>
      </w:r>
      <w:r>
        <w:t xml:space="preserve"> period</w:t>
      </w:r>
      <w:r w:rsidRPr="00131270">
        <w:t>.</w:t>
      </w:r>
      <w:r w:rsidR="002668ED">
        <w:t>”</w:t>
      </w:r>
      <w:r>
        <w:t xml:space="preserve"> </w:t>
      </w:r>
      <w:r w:rsidRPr="00131270">
        <w:t>Generally</w:t>
      </w:r>
      <w:r>
        <w:t>,</w:t>
      </w:r>
      <w:r w:rsidRPr="00131270">
        <w:t xml:space="preserve"> the maximum </w:t>
      </w:r>
      <w:r w:rsidR="00F14700">
        <w:t>COBRA</w:t>
      </w:r>
      <w:r w:rsidRPr="00131270">
        <w:t xml:space="preserve"> coverage</w:t>
      </w:r>
      <w:r>
        <w:t xml:space="preserve"> period i</w:t>
      </w:r>
      <w:r w:rsidRPr="00131270">
        <w:t>s 18 months after a termination of employment or reduction hours.</w:t>
      </w:r>
      <w:r>
        <w:t xml:space="preserve"> </w:t>
      </w:r>
      <w:r w:rsidRPr="00131270">
        <w:t>However</w:t>
      </w:r>
      <w:r>
        <w:t xml:space="preserve">, </w:t>
      </w:r>
      <w:r w:rsidRPr="00131270">
        <w:t xml:space="preserve">coverage periods can be extended due to a variety of situations including, second </w:t>
      </w:r>
      <w:r w:rsidR="00F14700">
        <w:t>COBRA</w:t>
      </w:r>
      <w:r w:rsidRPr="00131270">
        <w:t xml:space="preserve"> events </w:t>
      </w:r>
      <w:r>
        <w:t>(</w:t>
      </w:r>
      <w:r w:rsidR="00D312C0">
        <w:t>e.g.</w:t>
      </w:r>
      <w:r w:rsidR="002668ED">
        <w:t>,</w:t>
      </w:r>
      <w:r w:rsidR="00D312C0">
        <w:t xml:space="preserve"> </w:t>
      </w:r>
      <w:r w:rsidRPr="00131270">
        <w:t>divorce, death of an employee, or dependent ineligibility</w:t>
      </w:r>
      <w:r>
        <w:t>)</w:t>
      </w:r>
      <w:r w:rsidRPr="00131270">
        <w:t xml:space="preserve">, </w:t>
      </w:r>
      <w:r w:rsidR="002668ED">
        <w:t xml:space="preserve">and </w:t>
      </w:r>
      <w:r w:rsidRPr="00131270">
        <w:t>extensions due to total disability</w:t>
      </w:r>
      <w:r w:rsidR="002668ED">
        <w:t>. In addition, s</w:t>
      </w:r>
      <w:r w:rsidRPr="00131270">
        <w:t>ome state continuation that provides more than 18 months of coverage.</w:t>
      </w:r>
      <w:r>
        <w:t xml:space="preserve"> </w:t>
      </w:r>
    </w:p>
    <w:p w14:paraId="7519C95D" w14:textId="77777777" w:rsidR="00131270" w:rsidRDefault="00131270" w:rsidP="007E1851">
      <w:pPr>
        <w:ind w:left="0"/>
      </w:pPr>
    </w:p>
    <w:p w14:paraId="04B6D7B0" w14:textId="60975784" w:rsidR="007E1851" w:rsidRDefault="007E1851" w:rsidP="007E1851">
      <w:pPr>
        <w:ind w:left="0"/>
      </w:pPr>
      <w:r>
        <w:t>Q&amp;A #17</w:t>
      </w:r>
      <w:r w:rsidR="00131270">
        <w:t xml:space="preserve"> clarifies that i</w:t>
      </w:r>
      <w:r>
        <w:t xml:space="preserve">ndividuals who have </w:t>
      </w:r>
      <w:r w:rsidRPr="00131270">
        <w:rPr>
          <w:u w:val="single"/>
        </w:rPr>
        <w:t>elected and remained on</w:t>
      </w:r>
      <w:r w:rsidRPr="002668ED">
        <w:t xml:space="preserve"> </w:t>
      </w:r>
      <w:r w:rsidR="00F14700" w:rsidRPr="002668ED">
        <w:t>COBRA</w:t>
      </w:r>
      <w:r>
        <w:t xml:space="preserve"> continuation coverage for an extended period </w:t>
      </w:r>
      <w:r w:rsidR="002668ED">
        <w:t>qualify</w:t>
      </w:r>
      <w:r>
        <w:t xml:space="preserve"> for the subsidy</w:t>
      </w:r>
      <w:r w:rsidR="00131270">
        <w:t xml:space="preserve">. </w:t>
      </w:r>
      <w:r w:rsidR="00131270" w:rsidRPr="00131270">
        <w:t>Importantly</w:t>
      </w:r>
      <w:r w:rsidR="00131270">
        <w:t>,</w:t>
      </w:r>
      <w:r w:rsidR="00131270" w:rsidRPr="00131270">
        <w:t xml:space="preserve"> this means that only individuals who are still covered by </w:t>
      </w:r>
      <w:r w:rsidR="00D312C0">
        <w:t xml:space="preserve">the plan </w:t>
      </w:r>
      <w:r w:rsidR="00131270">
        <w:t>due to</w:t>
      </w:r>
      <w:r w:rsidR="00131270" w:rsidRPr="00131270">
        <w:t xml:space="preserve"> one of these extensions are subsidy</w:t>
      </w:r>
      <w:r w:rsidR="002668ED">
        <w:t>-</w:t>
      </w:r>
      <w:r w:rsidR="00131270" w:rsidRPr="00131270">
        <w:t>eligible. Individuals who had a triggering event more than 18 months ago</w:t>
      </w:r>
      <w:r w:rsidR="00D312C0">
        <w:t>,</w:t>
      </w:r>
      <w:r w:rsidR="00131270" w:rsidRPr="00131270">
        <w:t xml:space="preserve"> but</w:t>
      </w:r>
      <w:r w:rsidR="002668ED">
        <w:t xml:space="preserve"> who</w:t>
      </w:r>
      <w:r w:rsidR="00131270" w:rsidRPr="00131270">
        <w:t xml:space="preserve"> are not currently covered</w:t>
      </w:r>
      <w:r w:rsidR="002668ED">
        <w:t>,</w:t>
      </w:r>
      <w:r w:rsidR="00D312C0">
        <w:t xml:space="preserve"> are </w:t>
      </w:r>
      <w:r w:rsidR="00131270" w:rsidRPr="00131270">
        <w:t>not eligible for the subsidy or the second chance enrollment.</w:t>
      </w:r>
      <w:r w:rsidR="00131270">
        <w:t xml:space="preserve"> </w:t>
      </w:r>
      <w:r w:rsidR="00131270" w:rsidRPr="00131270">
        <w:t>The second chance enrollment opportunity needs only be made available to individuals that had a triggering event</w:t>
      </w:r>
      <w:r w:rsidR="00131270">
        <w:t xml:space="preserve"> </w:t>
      </w:r>
      <w:r w:rsidR="00131270" w:rsidRPr="00131270">
        <w:t>in the</w:t>
      </w:r>
      <w:r w:rsidR="00D312C0">
        <w:t xml:space="preserve"> </w:t>
      </w:r>
      <w:r w:rsidR="00131270" w:rsidRPr="00131270">
        <w:t>18 months prior to April 1</w:t>
      </w:r>
      <w:r w:rsidR="00131270" w:rsidRPr="00131270">
        <w:rPr>
          <w:vertAlign w:val="superscript"/>
        </w:rPr>
        <w:t>st</w:t>
      </w:r>
      <w:r w:rsidR="00131270">
        <w:t>, 2021</w:t>
      </w:r>
      <w:r w:rsidR="00D312C0">
        <w:t>,</w:t>
      </w:r>
      <w:r w:rsidR="00131270">
        <w:t xml:space="preserve"> and </w:t>
      </w:r>
      <w:r w:rsidR="00D312C0">
        <w:t xml:space="preserve">who </w:t>
      </w:r>
      <w:r w:rsidR="00131270">
        <w:t xml:space="preserve">are </w:t>
      </w:r>
      <w:r w:rsidR="00131270" w:rsidRPr="00131270">
        <w:t xml:space="preserve">still in their maximum </w:t>
      </w:r>
      <w:r w:rsidR="00F14700">
        <w:t>COBRA</w:t>
      </w:r>
      <w:r w:rsidR="00131270" w:rsidRPr="00131270">
        <w:t xml:space="preserve"> coverage</w:t>
      </w:r>
      <w:r w:rsidR="00131270">
        <w:t xml:space="preserve"> period.</w:t>
      </w:r>
    </w:p>
    <w:p w14:paraId="6BA0F861" w14:textId="19659F45" w:rsidR="00376797" w:rsidRDefault="00376797" w:rsidP="007E1851">
      <w:pPr>
        <w:ind w:left="0"/>
      </w:pPr>
    </w:p>
    <w:p w14:paraId="792B7C81" w14:textId="084FC7EC" w:rsidR="00376797" w:rsidRDefault="00376797" w:rsidP="00376797">
      <w:pPr>
        <w:ind w:left="0"/>
      </w:pPr>
      <w:r>
        <w:t xml:space="preserve">Q&amp;A #52 clarifies that the second chance election, or extended election period, is not required for AEIs eligible only for state continuation. However, if the state continuation law allows for a second chance election, such individuals taking advantage of it would qualify for the </w:t>
      </w:r>
      <w:r w:rsidR="00F14700">
        <w:t>COBRA</w:t>
      </w:r>
      <w:r>
        <w:t xml:space="preserve"> subsidy.</w:t>
      </w:r>
    </w:p>
    <w:p w14:paraId="145468B6" w14:textId="77777777" w:rsidR="00376797" w:rsidRDefault="00376797" w:rsidP="00376797">
      <w:pPr>
        <w:ind w:left="0"/>
        <w:rPr>
          <w:u w:val="single"/>
        </w:rPr>
      </w:pPr>
    </w:p>
    <w:p w14:paraId="4835FC83" w14:textId="46989539" w:rsidR="000C67C1" w:rsidRPr="000C67C1" w:rsidRDefault="000C67C1" w:rsidP="007E1851">
      <w:pPr>
        <w:ind w:left="0"/>
        <w:rPr>
          <w:u w:val="single"/>
        </w:rPr>
      </w:pPr>
      <w:r w:rsidRPr="000C67C1">
        <w:rPr>
          <w:u w:val="single"/>
        </w:rPr>
        <w:t>Involuntary Termination of Employment</w:t>
      </w:r>
    </w:p>
    <w:p w14:paraId="52B650E4" w14:textId="374A1079" w:rsidR="00131270" w:rsidRDefault="00131270" w:rsidP="007E1851">
      <w:pPr>
        <w:ind w:left="0"/>
      </w:pPr>
    </w:p>
    <w:p w14:paraId="2F66BD09" w14:textId="2637418E" w:rsidR="00131270" w:rsidRDefault="00131270" w:rsidP="007E1851">
      <w:pPr>
        <w:ind w:left="0"/>
      </w:pPr>
      <w:r w:rsidRPr="00131270">
        <w:t xml:space="preserve">The </w:t>
      </w:r>
      <w:r w:rsidR="00F14700">
        <w:t>COBRA</w:t>
      </w:r>
      <w:r w:rsidRPr="00131270">
        <w:t xml:space="preserve"> subsidy is available to anyone who had a</w:t>
      </w:r>
      <w:r w:rsidR="00D312C0">
        <w:t>ny</w:t>
      </w:r>
      <w:r w:rsidRPr="00131270">
        <w:t xml:space="preserve"> qualifying reduction in hours</w:t>
      </w:r>
      <w:r w:rsidR="002668ED">
        <w:t>. However, it is</w:t>
      </w:r>
      <w:r w:rsidRPr="00131270">
        <w:t xml:space="preserve"> only available to individuals who had a termination of employment event if that </w:t>
      </w:r>
      <w:r w:rsidR="00D312C0">
        <w:t xml:space="preserve">employment </w:t>
      </w:r>
      <w:r w:rsidRPr="00131270">
        <w:t>termination was involuntary.</w:t>
      </w:r>
      <w:r>
        <w:t xml:space="preserve"> </w:t>
      </w:r>
      <w:r w:rsidR="00D312C0">
        <w:t xml:space="preserve">The subsidy </w:t>
      </w:r>
      <w:r w:rsidR="00D312C0" w:rsidRPr="00D312C0">
        <w:t>is not available to individuals who have continuation rights due to other events, such as divorce, death of the employee, or dependent ineligibility.</w:t>
      </w:r>
      <w:r w:rsidR="00D312C0">
        <w:t xml:space="preserve"> </w:t>
      </w:r>
      <w:r w:rsidRPr="00131270">
        <w:t xml:space="preserve">Involuntary termination was </w:t>
      </w:r>
      <w:r w:rsidR="00D312C0">
        <w:t>a</w:t>
      </w:r>
      <w:r w:rsidR="00D312C0" w:rsidRPr="00131270">
        <w:t>ddressed</w:t>
      </w:r>
      <w:r w:rsidRPr="00131270">
        <w:t xml:space="preserve"> </w:t>
      </w:r>
      <w:r w:rsidR="00D312C0">
        <w:t xml:space="preserve">in some detail </w:t>
      </w:r>
      <w:r w:rsidRPr="00131270">
        <w:t>in 2009 by the IRS as part of the A</w:t>
      </w:r>
      <w:r w:rsidR="00BD4FD8">
        <w:t>RRA</w:t>
      </w:r>
      <w:r w:rsidRPr="00131270">
        <w:t xml:space="preserve"> </w:t>
      </w:r>
      <w:r w:rsidR="00F14700">
        <w:t>COBRA</w:t>
      </w:r>
      <w:r w:rsidRPr="00131270">
        <w:t xml:space="preserve"> subsidy</w:t>
      </w:r>
      <w:r w:rsidR="00D312C0">
        <w:t xml:space="preserve">, </w:t>
      </w:r>
      <w:r w:rsidRPr="00131270">
        <w:t>and</w:t>
      </w:r>
      <w:r w:rsidR="002668ED">
        <w:t xml:space="preserve"> now </w:t>
      </w:r>
      <w:r>
        <w:t>Q&amp;A</w:t>
      </w:r>
      <w:r w:rsidR="002668ED">
        <w:t>s</w:t>
      </w:r>
      <w:r>
        <w:t xml:space="preserve"> 24 – 34</w:t>
      </w:r>
      <w:r w:rsidR="008C3ADF">
        <w:t xml:space="preserve"> of the Notice</w:t>
      </w:r>
      <w:r>
        <w:t xml:space="preserve"> </w:t>
      </w:r>
      <w:r w:rsidR="008C3ADF">
        <w:t>provide</w:t>
      </w:r>
      <w:r w:rsidRPr="00131270">
        <w:t xml:space="preserve"> additional involuntary termination guidance.</w:t>
      </w:r>
    </w:p>
    <w:p w14:paraId="52044861" w14:textId="77777777" w:rsidR="00BD4FD8" w:rsidRDefault="00BD4FD8" w:rsidP="007E1851">
      <w:pPr>
        <w:ind w:left="0"/>
      </w:pPr>
    </w:p>
    <w:p w14:paraId="5831C52B" w14:textId="5A12A0AE" w:rsidR="00BD4FD8" w:rsidRPr="00BD4FD8" w:rsidRDefault="00BD4FD8" w:rsidP="00BD4FD8">
      <w:pPr>
        <w:ind w:left="0"/>
        <w:rPr>
          <w:i/>
          <w:iCs/>
        </w:rPr>
      </w:pPr>
      <w:r w:rsidRPr="00BD4FD8">
        <w:t>Interestingly, the new guidance uses the exact same definition of involuntary termination as what was used in 2009. In both cases</w:t>
      </w:r>
      <w:r w:rsidR="008C3ADF">
        <w:t>,</w:t>
      </w:r>
      <w:r w:rsidRPr="00BD4FD8">
        <w:t xml:space="preserve"> the IRS has interpreted</w:t>
      </w:r>
      <w:r w:rsidR="008C3ADF">
        <w:t xml:space="preserve"> the term “</w:t>
      </w:r>
      <w:r w:rsidRPr="00BD4FD8">
        <w:t>involuntary</w:t>
      </w:r>
      <w:r w:rsidR="008C3ADF">
        <w:t>”</w:t>
      </w:r>
      <w:r w:rsidRPr="00BD4FD8">
        <w:t xml:space="preserve"> very broadly</w:t>
      </w:r>
      <w:r w:rsidR="00D312C0">
        <w:t xml:space="preserve">, </w:t>
      </w:r>
      <w:r w:rsidRPr="00BD4FD8">
        <w:t>stating that</w:t>
      </w:r>
      <w:r>
        <w:t xml:space="preserve">: </w:t>
      </w:r>
      <w:r w:rsidRPr="00BD4FD8">
        <w:rPr>
          <w:i/>
          <w:iCs/>
        </w:rPr>
        <w:t>An involuntary termination of employment means a severance from employment due to the independent exercise of the unilateral authority of the employer to terminate the employment, other than due to the employee’s implicit or explicit request, where the employee was willing and able to continue performing services</w:t>
      </w:r>
      <w:r>
        <w:rPr>
          <w:i/>
          <w:iCs/>
        </w:rPr>
        <w:t>…</w:t>
      </w:r>
      <w:r w:rsidRPr="00BD4FD8">
        <w:rPr>
          <w:i/>
          <w:iCs/>
        </w:rPr>
        <w:t xml:space="preserve"> In addition, an employee-initiated termination of employment constitutes an involuntary termination of employment for purposes of </w:t>
      </w:r>
      <w:r w:rsidR="00F14700">
        <w:rPr>
          <w:i/>
          <w:iCs/>
        </w:rPr>
        <w:t>COBRA</w:t>
      </w:r>
      <w:r w:rsidRPr="00BD4FD8">
        <w:rPr>
          <w:i/>
          <w:iCs/>
        </w:rPr>
        <w:t xml:space="preserve"> premium assistance if the termination of employment constitutes a termination for good reason due to employer action that results in a material negative change in the employment relationship for the employee analogous to a constructive discharge.</w:t>
      </w:r>
    </w:p>
    <w:p w14:paraId="4A0A20AD" w14:textId="77777777" w:rsidR="00BD4FD8" w:rsidRDefault="00BD4FD8" w:rsidP="007E1851">
      <w:pPr>
        <w:ind w:left="0"/>
      </w:pPr>
    </w:p>
    <w:p w14:paraId="69423642" w14:textId="7C2C79AA" w:rsidR="00BD4FD8" w:rsidRDefault="00BD4FD8" w:rsidP="007E1851">
      <w:pPr>
        <w:ind w:left="0"/>
      </w:pPr>
      <w:r w:rsidRPr="00BD4FD8">
        <w:t xml:space="preserve">Both the 2009 and 2021 guidance make it clear that </w:t>
      </w:r>
      <w:r w:rsidR="00376797">
        <w:t>r</w:t>
      </w:r>
      <w:r w:rsidRPr="00BD4FD8">
        <w:t xml:space="preserve">eductions in force, terminations for cause, layoffs, </w:t>
      </w:r>
      <w:r>
        <w:t xml:space="preserve">and other </w:t>
      </w:r>
      <w:r w:rsidRPr="00BD4FD8">
        <w:t>related terminations are to be treated as an involuntary termination</w:t>
      </w:r>
      <w:r w:rsidR="00D312C0">
        <w:t xml:space="preserve">. Employment </w:t>
      </w:r>
      <w:r w:rsidRPr="00BD4FD8">
        <w:t xml:space="preserve">terminations do not have to be related </w:t>
      </w:r>
      <w:r w:rsidR="00D312C0">
        <w:t xml:space="preserve">to </w:t>
      </w:r>
      <w:r w:rsidRPr="00BD4FD8">
        <w:t>COVID-19 economic issues.</w:t>
      </w:r>
    </w:p>
    <w:p w14:paraId="57D3EF37" w14:textId="788CFAC7" w:rsidR="00BD4FD8" w:rsidRDefault="00BD4FD8" w:rsidP="007E1851">
      <w:pPr>
        <w:ind w:left="0"/>
      </w:pPr>
    </w:p>
    <w:p w14:paraId="190A7332" w14:textId="5AA78057" w:rsidR="00BD4FD8" w:rsidRDefault="00BD4FD8" w:rsidP="007E1851">
      <w:pPr>
        <w:ind w:left="0"/>
      </w:pPr>
      <w:r w:rsidRPr="00BD4FD8">
        <w:t xml:space="preserve">Other questions </w:t>
      </w:r>
      <w:r w:rsidR="00D312C0">
        <w:t xml:space="preserve">in the Notice </w:t>
      </w:r>
      <w:r w:rsidRPr="00BD4FD8">
        <w:t>address different situations</w:t>
      </w:r>
      <w:r>
        <w:t xml:space="preserve"> </w:t>
      </w:r>
      <w:r w:rsidRPr="00BD4FD8">
        <w:t>that may be less clear</w:t>
      </w:r>
      <w:r w:rsidR="00376797">
        <w:t>,</w:t>
      </w:r>
      <w:r>
        <w:t xml:space="preserve"> including:</w:t>
      </w:r>
    </w:p>
    <w:p w14:paraId="7B6550AA" w14:textId="2A7AF325" w:rsidR="00376797" w:rsidRDefault="00376797" w:rsidP="00645628">
      <w:pPr>
        <w:pStyle w:val="ListParagraph"/>
        <w:numPr>
          <w:ilvl w:val="0"/>
          <w:numId w:val="32"/>
        </w:numPr>
      </w:pPr>
      <w:r w:rsidRPr="00376797">
        <w:t xml:space="preserve">The termination </w:t>
      </w:r>
      <w:r w:rsidR="00D312C0">
        <w:t xml:space="preserve">of </w:t>
      </w:r>
      <w:r w:rsidRPr="00376797">
        <w:t>employment due to someone's inability to work due to a</w:t>
      </w:r>
      <w:r>
        <w:t>n</w:t>
      </w:r>
      <w:r w:rsidRPr="00376797">
        <w:t xml:space="preserve"> illness or disability will generally be treated as an involuntary termination.</w:t>
      </w:r>
    </w:p>
    <w:p w14:paraId="0DC12C3C" w14:textId="34402CA2" w:rsidR="00645628" w:rsidRDefault="00BD4FD8" w:rsidP="00645628">
      <w:pPr>
        <w:pStyle w:val="ListParagraph"/>
        <w:numPr>
          <w:ilvl w:val="0"/>
          <w:numId w:val="32"/>
        </w:numPr>
      </w:pPr>
      <w:r>
        <w:t>The e</w:t>
      </w:r>
      <w:r w:rsidR="007E1851">
        <w:t xml:space="preserve">nd of an employment contract is still generally </w:t>
      </w:r>
      <w:r>
        <w:t xml:space="preserve">treated as an </w:t>
      </w:r>
      <w:r w:rsidR="007E1851">
        <w:t xml:space="preserve">involuntary termination as it was in 2009. However, </w:t>
      </w:r>
      <w:r>
        <w:t xml:space="preserve">new guidance states that </w:t>
      </w:r>
      <w:r w:rsidR="00D312C0">
        <w:t xml:space="preserve">if </w:t>
      </w:r>
      <w:r w:rsidR="007E1851">
        <w:t xml:space="preserve">it was clear </w:t>
      </w:r>
      <w:r>
        <w:t xml:space="preserve">to both parties </w:t>
      </w:r>
      <w:r w:rsidR="007E1851">
        <w:t xml:space="preserve">upon entering the contract that </w:t>
      </w:r>
      <w:r w:rsidR="00D312C0">
        <w:t xml:space="preserve">it </w:t>
      </w:r>
      <w:r w:rsidR="007E1851">
        <w:t>was for a specified term that would not be renewed</w:t>
      </w:r>
      <w:r>
        <w:t xml:space="preserve">, </w:t>
      </w:r>
      <w:r w:rsidR="007E1851">
        <w:t xml:space="preserve">then </w:t>
      </w:r>
      <w:r>
        <w:t xml:space="preserve">the end of the employment contract </w:t>
      </w:r>
      <w:r w:rsidR="007E1851">
        <w:t>would not be considered an involuntary termination.</w:t>
      </w:r>
    </w:p>
    <w:p w14:paraId="4950240C" w14:textId="79852872" w:rsidR="007E1851" w:rsidRDefault="00BD4FD8" w:rsidP="00645628">
      <w:pPr>
        <w:pStyle w:val="ListParagraph"/>
        <w:numPr>
          <w:ilvl w:val="0"/>
          <w:numId w:val="32"/>
        </w:numPr>
      </w:pPr>
      <w:r>
        <w:t>There is an interesting n</w:t>
      </w:r>
      <w:r w:rsidR="007E1851">
        <w:t xml:space="preserve">ew example </w:t>
      </w:r>
      <w:r w:rsidR="00645628">
        <w:t xml:space="preserve">addressing </w:t>
      </w:r>
      <w:r w:rsidR="007E1851">
        <w:t>an employee's resignation due to fear of health and safety at the worksite</w:t>
      </w:r>
      <w:r w:rsidR="00D312C0">
        <w:t xml:space="preserve">. The Notice states </w:t>
      </w:r>
      <w:r w:rsidR="00645628">
        <w:t>that this w</w:t>
      </w:r>
      <w:r w:rsidR="007E1851">
        <w:t xml:space="preserve">ould generally be considered </w:t>
      </w:r>
      <w:r w:rsidR="00645628">
        <w:t>v</w:t>
      </w:r>
      <w:r w:rsidR="007E1851">
        <w:t>oluntary</w:t>
      </w:r>
      <w:r w:rsidR="00645628">
        <w:t xml:space="preserve"> termination and thus</w:t>
      </w:r>
      <w:r w:rsidR="00D312C0">
        <w:t xml:space="preserve"> the individual would</w:t>
      </w:r>
      <w:r w:rsidR="00645628">
        <w:t xml:space="preserve"> not subsidy</w:t>
      </w:r>
      <w:r w:rsidR="008C3ADF">
        <w:t>-</w:t>
      </w:r>
      <w:r w:rsidR="00645628">
        <w:t>eligible.</w:t>
      </w:r>
      <w:r w:rsidR="007E1851">
        <w:t xml:space="preserve"> However</w:t>
      </w:r>
      <w:r w:rsidR="00645628">
        <w:t xml:space="preserve">, the </w:t>
      </w:r>
      <w:r w:rsidR="007E1851">
        <w:t>example</w:t>
      </w:r>
      <w:r w:rsidR="00645628">
        <w:t xml:space="preserve"> includes a cryptic qualifier that </w:t>
      </w:r>
      <w:r w:rsidR="007E1851">
        <w:t xml:space="preserve">if the employee could show that the employer took </w:t>
      </w:r>
      <w:proofErr w:type="gramStart"/>
      <w:r w:rsidR="007E1851">
        <w:t>some kind of action</w:t>
      </w:r>
      <w:proofErr w:type="gramEnd"/>
      <w:r w:rsidR="007E1851">
        <w:t xml:space="preserve"> that resulted in a “negative change in the employment relationship</w:t>
      </w:r>
      <w:r w:rsidR="008C3ADF">
        <w:t>,</w:t>
      </w:r>
      <w:r w:rsidR="007E1851">
        <w:t>”</w:t>
      </w:r>
      <w:r w:rsidR="00645628">
        <w:t xml:space="preserve"> such a resignation may be considered involuntary. </w:t>
      </w:r>
    </w:p>
    <w:p w14:paraId="08E3C29A" w14:textId="6563E256" w:rsidR="00376797" w:rsidRDefault="00376797" w:rsidP="00645628">
      <w:pPr>
        <w:pStyle w:val="ListParagraph"/>
        <w:numPr>
          <w:ilvl w:val="0"/>
          <w:numId w:val="32"/>
        </w:numPr>
      </w:pPr>
      <w:r w:rsidRPr="00376797">
        <w:t xml:space="preserve">In an example that illustrates just how broadly the IRS interprets </w:t>
      </w:r>
      <w:r>
        <w:t>“</w:t>
      </w:r>
      <w:r w:rsidRPr="00376797">
        <w:t>involuntary</w:t>
      </w:r>
      <w:r w:rsidR="008C3ADF">
        <w:t>,”</w:t>
      </w:r>
      <w:r w:rsidRPr="00376797">
        <w:t xml:space="preserve"> a 2009 example states that if an employer requires an employee to move to a new geographic area</w:t>
      </w:r>
      <w:r>
        <w:t>,</w:t>
      </w:r>
      <w:r w:rsidRPr="00376797">
        <w:t xml:space="preserve"> and the employee decides to resign</w:t>
      </w:r>
      <w:r>
        <w:t>,</w:t>
      </w:r>
      <w:r w:rsidRPr="00376797">
        <w:t xml:space="preserve"> that should be treated as an involuntary termination of employment because the employer took the unilateral action to move the </w:t>
      </w:r>
      <w:proofErr w:type="gramStart"/>
      <w:r w:rsidRPr="00376797">
        <w:t>employee</w:t>
      </w:r>
      <w:proofErr w:type="gramEnd"/>
    </w:p>
    <w:p w14:paraId="0829A640" w14:textId="40DB888B" w:rsidR="00D312C0" w:rsidRDefault="00D312C0" w:rsidP="00D312C0"/>
    <w:p w14:paraId="683C47B9" w14:textId="3FDFF202" w:rsidR="00C45BBA" w:rsidRPr="00C45BBA" w:rsidRDefault="00C45BBA" w:rsidP="00C45BBA">
      <w:pPr>
        <w:ind w:left="0"/>
      </w:pPr>
      <w:r w:rsidRPr="00C45BBA">
        <w:t xml:space="preserve">The 2009 </w:t>
      </w:r>
      <w:r w:rsidRPr="00C45BBA">
        <w:t>guidance and the Notice include</w:t>
      </w:r>
      <w:r w:rsidRPr="00C45BBA">
        <w:t xml:space="preserve"> </w:t>
      </w:r>
      <w:proofErr w:type="gramStart"/>
      <w:r w:rsidRPr="00C45BBA">
        <w:t>a number of</w:t>
      </w:r>
      <w:proofErr w:type="gramEnd"/>
      <w:r w:rsidRPr="00C45BBA">
        <w:t xml:space="preserve"> other examples of what constitutes and involuntary termination. Taken as a whole</w:t>
      </w:r>
      <w:r w:rsidRPr="00C45BBA">
        <w:t>,</w:t>
      </w:r>
      <w:r w:rsidRPr="00C45BBA">
        <w:t xml:space="preserve"> the examples confirm that employers should interpret the term “involuntary” very broadly for purposes of determining if someone is eligible for the subsidy. </w:t>
      </w:r>
    </w:p>
    <w:p w14:paraId="2283BE8C" w14:textId="77777777" w:rsidR="007E1851" w:rsidRDefault="007E1851" w:rsidP="007E1851">
      <w:pPr>
        <w:ind w:left="0"/>
      </w:pPr>
    </w:p>
    <w:p w14:paraId="10E352D4" w14:textId="77777777" w:rsidR="00645628" w:rsidRPr="00645628" w:rsidRDefault="00645628" w:rsidP="007E1851">
      <w:pPr>
        <w:ind w:left="0"/>
        <w:rPr>
          <w:u w:val="single"/>
        </w:rPr>
      </w:pPr>
      <w:r w:rsidRPr="00645628">
        <w:rPr>
          <w:u w:val="single"/>
        </w:rPr>
        <w:t>Coverage Eligible for the Subsidy</w:t>
      </w:r>
    </w:p>
    <w:p w14:paraId="59981C5F" w14:textId="77777777" w:rsidR="00645628" w:rsidRDefault="00645628" w:rsidP="007E1851">
      <w:pPr>
        <w:ind w:left="0"/>
      </w:pPr>
    </w:p>
    <w:p w14:paraId="552C302F" w14:textId="513AA356" w:rsidR="007E1851" w:rsidRDefault="00645628" w:rsidP="007E1851">
      <w:pPr>
        <w:ind w:left="0"/>
      </w:pPr>
      <w:r>
        <w:t xml:space="preserve">The guidance clarifies </w:t>
      </w:r>
      <w:r w:rsidRPr="00645628">
        <w:t xml:space="preserve">that the subsidy is available for all types of </w:t>
      </w:r>
      <w:r w:rsidR="00F14700">
        <w:t>COBRA</w:t>
      </w:r>
      <w:r w:rsidRPr="00645628">
        <w:t xml:space="preserve"> coverage</w:t>
      </w:r>
      <w:r>
        <w:t xml:space="preserve"> except for a health FSA. This includes</w:t>
      </w:r>
      <w:r w:rsidRPr="00645628">
        <w:t xml:space="preserve"> medical</w:t>
      </w:r>
      <w:r>
        <w:t xml:space="preserve">, </w:t>
      </w:r>
      <w:r w:rsidRPr="00645628">
        <w:t>dental</w:t>
      </w:r>
      <w:r w:rsidR="008C3ADF">
        <w:t xml:space="preserve">, </w:t>
      </w:r>
      <w:r w:rsidRPr="00645628">
        <w:t>vision</w:t>
      </w:r>
      <w:r>
        <w:t>, HRA</w:t>
      </w:r>
      <w:r w:rsidR="008C3ADF">
        <w:t>s</w:t>
      </w:r>
      <w:r>
        <w:t xml:space="preserve">, etc. </w:t>
      </w:r>
      <w:r w:rsidR="007E1851">
        <w:t>If the employer no longer offers the same plan option</w:t>
      </w:r>
      <w:r>
        <w:t xml:space="preserve"> </w:t>
      </w:r>
      <w:r w:rsidR="008C3ADF">
        <w:t>that</w:t>
      </w:r>
      <w:r w:rsidRPr="00645628">
        <w:t xml:space="preserve"> was available at the time the AEI had their initial </w:t>
      </w:r>
      <w:r w:rsidR="00F14700">
        <w:t>COBRA</w:t>
      </w:r>
      <w:r w:rsidRPr="00645628">
        <w:t xml:space="preserve"> event</w:t>
      </w:r>
      <w:r w:rsidR="007E1851">
        <w:t xml:space="preserve">, the employer </w:t>
      </w:r>
      <w:r>
        <w:t>should</w:t>
      </w:r>
      <w:r w:rsidR="007E1851">
        <w:t xml:space="preserve"> offer the coverage most </w:t>
      </w:r>
      <w:proofErr w:type="gramStart"/>
      <w:r w:rsidR="007E1851">
        <w:t>similar to</w:t>
      </w:r>
      <w:proofErr w:type="gramEnd"/>
      <w:r w:rsidR="007E1851">
        <w:t xml:space="preserve"> the previous coverage, or </w:t>
      </w:r>
      <w:r>
        <w:t>optionally can offer c</w:t>
      </w:r>
      <w:r w:rsidR="007E1851">
        <w:t xml:space="preserve">heaper </w:t>
      </w:r>
      <w:r>
        <w:t xml:space="preserve">plan </w:t>
      </w:r>
      <w:r w:rsidR="007E1851">
        <w:t>option</w:t>
      </w:r>
      <w:r>
        <w:t>s</w:t>
      </w:r>
      <w:r w:rsidR="007E1851">
        <w:t>, and still claim a tax credit</w:t>
      </w:r>
      <w:r>
        <w:t>.</w:t>
      </w:r>
    </w:p>
    <w:p w14:paraId="4479B055" w14:textId="77777777" w:rsidR="00645628" w:rsidRDefault="00645628" w:rsidP="007E1851">
      <w:pPr>
        <w:ind w:left="0"/>
      </w:pPr>
    </w:p>
    <w:p w14:paraId="185DCDCA" w14:textId="24EFB4CB" w:rsidR="00376797" w:rsidRPr="00376797" w:rsidRDefault="00376797" w:rsidP="007E1851">
      <w:pPr>
        <w:ind w:left="0"/>
        <w:rPr>
          <w:u w:val="single"/>
        </w:rPr>
      </w:pPr>
      <w:r w:rsidRPr="00376797">
        <w:rPr>
          <w:u w:val="single"/>
        </w:rPr>
        <w:t>Payroll Tax Credits</w:t>
      </w:r>
    </w:p>
    <w:p w14:paraId="1AF79941" w14:textId="77777777" w:rsidR="00376797" w:rsidRDefault="00376797" w:rsidP="007E1851">
      <w:pPr>
        <w:ind w:left="0"/>
      </w:pPr>
    </w:p>
    <w:p w14:paraId="4F6EDE60" w14:textId="462DCAFA" w:rsidR="000054A5" w:rsidRDefault="000054A5" w:rsidP="007E1851">
      <w:pPr>
        <w:ind w:left="0"/>
      </w:pPr>
      <w:r w:rsidRPr="000054A5">
        <w:t xml:space="preserve">A significant portion of </w:t>
      </w:r>
      <w:r w:rsidR="00A67CD5">
        <w:t>the Notice</w:t>
      </w:r>
      <w:r w:rsidRPr="000054A5">
        <w:t xml:space="preserve"> deals with how employers will recover missed </w:t>
      </w:r>
      <w:r w:rsidR="00F14700">
        <w:t>COBRA</w:t>
      </w:r>
      <w:r w:rsidRPr="000054A5">
        <w:t xml:space="preserve"> premium payments through a credit taken against payroll tax</w:t>
      </w:r>
      <w:r>
        <w:t xml:space="preserve"> liability. </w:t>
      </w:r>
      <w:r w:rsidRPr="000054A5">
        <w:t>The basic process will work much the same as employers used to take a credit for expenses related to paid leave as required by the F</w:t>
      </w:r>
      <w:r>
        <w:t>F</w:t>
      </w:r>
      <w:r w:rsidRPr="000054A5">
        <w:t>CRA</w:t>
      </w:r>
      <w:r>
        <w:t xml:space="preserve">. The </w:t>
      </w:r>
      <w:r w:rsidRPr="000054A5">
        <w:t>employer w</w:t>
      </w:r>
      <w:r>
        <w:t>i</w:t>
      </w:r>
      <w:r w:rsidRPr="000054A5">
        <w:t xml:space="preserve">ll withhold a portion of payroll tax deposits </w:t>
      </w:r>
      <w:r>
        <w:t xml:space="preserve">due </w:t>
      </w:r>
      <w:r w:rsidRPr="000054A5">
        <w:t xml:space="preserve">equal to the eligible </w:t>
      </w:r>
      <w:r w:rsidR="00F14700">
        <w:t>COBRA</w:t>
      </w:r>
      <w:r w:rsidRPr="000054A5">
        <w:t xml:space="preserve"> premiums that were not paid during that</w:t>
      </w:r>
      <w:r>
        <w:t xml:space="preserve"> period</w:t>
      </w:r>
      <w:r w:rsidRPr="000054A5">
        <w:t xml:space="preserve">. Then the employer will report those credits taken against their </w:t>
      </w:r>
      <w:proofErr w:type="gramStart"/>
      <w:r w:rsidRPr="000054A5">
        <w:t>deposits,</w:t>
      </w:r>
      <w:r>
        <w:t xml:space="preserve"> </w:t>
      </w:r>
      <w:r w:rsidRPr="000054A5">
        <w:t>when</w:t>
      </w:r>
      <w:proofErr w:type="gramEnd"/>
      <w:r w:rsidRPr="000054A5">
        <w:t xml:space="preserve"> they file their quarterly 941</w:t>
      </w:r>
      <w:r>
        <w:t xml:space="preserve">. </w:t>
      </w:r>
      <w:r w:rsidRPr="000054A5">
        <w:t xml:space="preserve">If the anticipated credit </w:t>
      </w:r>
      <w:r>
        <w:t xml:space="preserve">for eligible missed </w:t>
      </w:r>
      <w:r w:rsidR="00F14700">
        <w:t>COBRA</w:t>
      </w:r>
      <w:r>
        <w:t xml:space="preserve"> premiums </w:t>
      </w:r>
      <w:r w:rsidRPr="000054A5">
        <w:t>exceeds the federal employment tax deposits available</w:t>
      </w:r>
      <w:r>
        <w:t xml:space="preserve">, </w:t>
      </w:r>
      <w:r w:rsidRPr="000054A5">
        <w:t xml:space="preserve">the </w:t>
      </w:r>
      <w:r>
        <w:t xml:space="preserve">employer </w:t>
      </w:r>
      <w:r w:rsidRPr="000054A5">
        <w:t xml:space="preserve">may file Form 7200 to request an advance payment of the credit. </w:t>
      </w:r>
    </w:p>
    <w:p w14:paraId="500D68D7" w14:textId="77777777" w:rsidR="000054A5" w:rsidRDefault="000054A5" w:rsidP="007E1851">
      <w:pPr>
        <w:ind w:left="0"/>
      </w:pPr>
    </w:p>
    <w:p w14:paraId="043E9C7C" w14:textId="6FD6F5B9" w:rsidR="007E1851" w:rsidRDefault="000054A5" w:rsidP="007E1851">
      <w:pPr>
        <w:ind w:left="0"/>
      </w:pPr>
      <w:r>
        <w:t xml:space="preserve">In news that will disappoint some employers </w:t>
      </w:r>
      <w:r w:rsidR="007E1851">
        <w:t>Q&amp;A #6</w:t>
      </w:r>
      <w:r>
        <w:t>4 make clear that e</w:t>
      </w:r>
      <w:r w:rsidR="007E1851">
        <w:t xml:space="preserve">mployers </w:t>
      </w:r>
      <w:r>
        <w:t xml:space="preserve">who chose to </w:t>
      </w:r>
      <w:r w:rsidR="007E1851">
        <w:t xml:space="preserve">subsidize some or </w:t>
      </w:r>
      <w:proofErr w:type="gramStart"/>
      <w:r w:rsidR="007E1851">
        <w:t>all of</w:t>
      </w:r>
      <w:proofErr w:type="gramEnd"/>
      <w:r w:rsidR="007E1851">
        <w:t xml:space="preserve"> the </w:t>
      </w:r>
      <w:r w:rsidR="00F14700">
        <w:t>COBRA</w:t>
      </w:r>
      <w:r w:rsidR="007E1851">
        <w:t xml:space="preserve"> premium (e.g., as part of a severance agreement) can only recover the portion of the premium as a tax credit that otherwise would have been paid by the individual.</w:t>
      </w:r>
    </w:p>
    <w:p w14:paraId="7105FAAA" w14:textId="77777777" w:rsidR="007E1851" w:rsidRDefault="007E1851" w:rsidP="007E1851">
      <w:pPr>
        <w:ind w:left="0"/>
      </w:pPr>
    </w:p>
    <w:p w14:paraId="62ABF20B" w14:textId="4431C666" w:rsidR="00727C27" w:rsidRPr="00444093" w:rsidRDefault="00444093" w:rsidP="00294764">
      <w:pPr>
        <w:ind w:left="0"/>
        <w:rPr>
          <w:b/>
          <w:bCs/>
        </w:rPr>
      </w:pPr>
      <w:r w:rsidRPr="00444093">
        <w:rPr>
          <w:b/>
          <w:bCs/>
        </w:rPr>
        <w:t>Summary</w:t>
      </w:r>
    </w:p>
    <w:p w14:paraId="31D9E680" w14:textId="622BA311" w:rsidR="009359AD" w:rsidRDefault="00376797" w:rsidP="00294764">
      <w:pPr>
        <w:ind w:left="0"/>
      </w:pPr>
      <w:r w:rsidRPr="00376797">
        <w:t xml:space="preserve">The </w:t>
      </w:r>
      <w:r w:rsidR="00A67CD5">
        <w:t>N</w:t>
      </w:r>
      <w:r w:rsidRPr="00376797">
        <w:t xml:space="preserve">otice addresses many of the </w:t>
      </w:r>
      <w:proofErr w:type="gramStart"/>
      <w:r w:rsidRPr="00376797">
        <w:t>questions</w:t>
      </w:r>
      <w:proofErr w:type="gramEnd"/>
      <w:r w:rsidRPr="00376797">
        <w:t xml:space="preserve"> employers have had since the law was passed, but there are still open issues.</w:t>
      </w:r>
      <w:r>
        <w:t xml:space="preserve"> </w:t>
      </w:r>
      <w:r w:rsidRPr="00376797">
        <w:t>This summary cannot address all the</w:t>
      </w:r>
      <w:r>
        <w:t xml:space="preserve"> details </w:t>
      </w:r>
      <w:r w:rsidRPr="00376797">
        <w:t xml:space="preserve">covered in the 86 questions </w:t>
      </w:r>
      <w:r>
        <w:t xml:space="preserve">and answers </w:t>
      </w:r>
      <w:r w:rsidRPr="00376797">
        <w:t>released by the IRS</w:t>
      </w:r>
      <w:r>
        <w:t>, but w</w:t>
      </w:r>
      <w:r w:rsidRPr="00376797">
        <w:t>e have attempted to highlight some of the more interesting or significant guidance</w:t>
      </w:r>
      <w:r>
        <w:t>. E</w:t>
      </w:r>
      <w:r w:rsidRPr="00376797">
        <w:t>mployers should review the entire notice</w:t>
      </w:r>
      <w:r>
        <w:t xml:space="preserve"> </w:t>
      </w:r>
      <w:r w:rsidRPr="00376797">
        <w:t>and consult with qualified advisors regarding specific situations they face.</w:t>
      </w:r>
      <w:r>
        <w:t xml:space="preserve"> </w:t>
      </w:r>
      <w:r w:rsidR="00A67CD5">
        <w:t>The Notice</w:t>
      </w:r>
      <w:r>
        <w:t xml:space="preserve"> can be found at </w:t>
      </w:r>
      <w:hyperlink r:id="rId12" w:history="1">
        <w:r w:rsidRPr="00E77DE7">
          <w:rPr>
            <w:rStyle w:val="Hyperlink"/>
          </w:rPr>
          <w:t>https://www.irs.gov/newsroom/irs-provides-guidance-on-premium-assistance-and-tax-credit-for-continuation-health-coverage</w:t>
        </w:r>
      </w:hyperlink>
      <w:r>
        <w:t>.</w:t>
      </w:r>
    </w:p>
    <w:p w14:paraId="5CD5A762" w14:textId="77777777" w:rsidR="00376797" w:rsidRDefault="00376797" w:rsidP="00294764">
      <w:pPr>
        <w:ind w:left="0"/>
      </w:pPr>
    </w:p>
    <w:p w14:paraId="1E7EC81B" w14:textId="00CF6A49" w:rsidR="001E67A2" w:rsidRDefault="001E67A2" w:rsidP="00294764">
      <w:pPr>
        <w:ind w:left="0"/>
      </w:pPr>
    </w:p>
    <w:p w14:paraId="302D2805" w14:textId="77777777" w:rsidR="001E67A2" w:rsidRDefault="001E67A2" w:rsidP="00294764">
      <w:pPr>
        <w:ind w:left="0"/>
      </w:pPr>
    </w:p>
    <w:p w14:paraId="1EA91DA5" w14:textId="77777777" w:rsidR="009359AD" w:rsidRDefault="009359AD" w:rsidP="00294764">
      <w:pPr>
        <w:ind w:left="0"/>
      </w:pPr>
    </w:p>
    <w:p w14:paraId="448020FF" w14:textId="004F1F72"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13"/>
      <w:headerReference w:type="first" r:id="rId14"/>
      <w:footerReference w:type="first" r:id="rId15"/>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164B" w14:textId="77777777" w:rsidR="00A63BA0" w:rsidRDefault="00A63BA0" w:rsidP="006C7EC1">
      <w:r>
        <w:separator/>
      </w:r>
    </w:p>
  </w:endnote>
  <w:endnote w:type="continuationSeparator" w:id="0">
    <w:p w14:paraId="78F930B2" w14:textId="77777777" w:rsidR="00A63BA0" w:rsidRDefault="00A63BA0" w:rsidP="006C7EC1">
      <w:r>
        <w:continuationSeparator/>
      </w:r>
    </w:p>
  </w:endnote>
  <w:endnote w:type="continuationNotice" w:id="1">
    <w:p w14:paraId="1CB56ABF" w14:textId="77777777" w:rsidR="00A63BA0" w:rsidRDefault="00A6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76EC" w14:textId="77777777" w:rsidR="00A63BA0" w:rsidRDefault="00A63BA0" w:rsidP="006C7EC1">
      <w:r>
        <w:separator/>
      </w:r>
    </w:p>
  </w:footnote>
  <w:footnote w:type="continuationSeparator" w:id="0">
    <w:p w14:paraId="0C05B20F" w14:textId="77777777" w:rsidR="00A63BA0" w:rsidRDefault="00A63BA0" w:rsidP="006C7EC1">
      <w:r>
        <w:continuationSeparator/>
      </w:r>
    </w:p>
  </w:footnote>
  <w:footnote w:type="continuationNotice" w:id="1">
    <w:p w14:paraId="1C4FEC0C" w14:textId="77777777" w:rsidR="00A63BA0" w:rsidRDefault="00A63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B1D2F"/>
    <w:multiLevelType w:val="multilevel"/>
    <w:tmpl w:val="79B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3A77"/>
    <w:multiLevelType w:val="multilevel"/>
    <w:tmpl w:val="635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12049"/>
    <w:multiLevelType w:val="hybridMultilevel"/>
    <w:tmpl w:val="744C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C272C0"/>
    <w:multiLevelType w:val="hybridMultilevel"/>
    <w:tmpl w:val="E4D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24686"/>
    <w:multiLevelType w:val="multilevel"/>
    <w:tmpl w:val="818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A534DF4"/>
    <w:multiLevelType w:val="hybridMultilevel"/>
    <w:tmpl w:val="8F8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30770C"/>
    <w:multiLevelType w:val="multilevel"/>
    <w:tmpl w:val="91C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28"/>
  </w:num>
  <w:num w:numId="4">
    <w:abstractNumId w:val="4"/>
  </w:num>
  <w:num w:numId="5">
    <w:abstractNumId w:val="21"/>
  </w:num>
  <w:num w:numId="6">
    <w:abstractNumId w:val="8"/>
  </w:num>
  <w:num w:numId="7">
    <w:abstractNumId w:val="7"/>
  </w:num>
  <w:num w:numId="8">
    <w:abstractNumId w:val="25"/>
  </w:num>
  <w:num w:numId="9">
    <w:abstractNumId w:val="0"/>
  </w:num>
  <w:num w:numId="10">
    <w:abstractNumId w:val="22"/>
  </w:num>
  <w:num w:numId="11">
    <w:abstractNumId w:val="30"/>
  </w:num>
  <w:num w:numId="12">
    <w:abstractNumId w:val="15"/>
  </w:num>
  <w:num w:numId="13">
    <w:abstractNumId w:val="12"/>
  </w:num>
  <w:num w:numId="14">
    <w:abstractNumId w:val="10"/>
  </w:num>
  <w:num w:numId="15">
    <w:abstractNumId w:val="16"/>
  </w:num>
  <w:num w:numId="16">
    <w:abstractNumId w:val="18"/>
  </w:num>
  <w:num w:numId="17">
    <w:abstractNumId w:val="1"/>
  </w:num>
  <w:num w:numId="18">
    <w:abstractNumId w:val="27"/>
  </w:num>
  <w:num w:numId="19">
    <w:abstractNumId w:val="13"/>
  </w:num>
  <w:num w:numId="20">
    <w:abstractNumId w:val="5"/>
  </w:num>
  <w:num w:numId="21">
    <w:abstractNumId w:val="17"/>
  </w:num>
  <w:num w:numId="22">
    <w:abstractNumId w:val="3"/>
  </w:num>
  <w:num w:numId="23">
    <w:abstractNumId w:val="6"/>
  </w:num>
  <w:num w:numId="24">
    <w:abstractNumId w:val="19"/>
  </w:num>
  <w:num w:numId="25">
    <w:abstractNumId w:val="20"/>
  </w:num>
  <w:num w:numId="26">
    <w:abstractNumId w:val="9"/>
  </w:num>
  <w:num w:numId="27">
    <w:abstractNumId w:val="24"/>
  </w:num>
  <w:num w:numId="28">
    <w:abstractNumId w:val="31"/>
  </w:num>
  <w:num w:numId="29">
    <w:abstractNumId w:val="11"/>
  </w:num>
  <w:num w:numId="30">
    <w:abstractNumId w:val="26"/>
  </w:num>
  <w:num w:numId="31">
    <w:abstractNumId w:val="23"/>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4A5"/>
    <w:rsid w:val="00005756"/>
    <w:rsid w:val="000130D1"/>
    <w:rsid w:val="00014763"/>
    <w:rsid w:val="00015218"/>
    <w:rsid w:val="000166F5"/>
    <w:rsid w:val="00016C71"/>
    <w:rsid w:val="00017D2C"/>
    <w:rsid w:val="000205FF"/>
    <w:rsid w:val="00021614"/>
    <w:rsid w:val="00027ACB"/>
    <w:rsid w:val="00030208"/>
    <w:rsid w:val="00032B26"/>
    <w:rsid w:val="00033E0F"/>
    <w:rsid w:val="00035AF6"/>
    <w:rsid w:val="00040328"/>
    <w:rsid w:val="00040AAC"/>
    <w:rsid w:val="00040AB3"/>
    <w:rsid w:val="00041D34"/>
    <w:rsid w:val="00042967"/>
    <w:rsid w:val="00042BA6"/>
    <w:rsid w:val="00042D2A"/>
    <w:rsid w:val="00045F42"/>
    <w:rsid w:val="00054BF9"/>
    <w:rsid w:val="00055FFE"/>
    <w:rsid w:val="00056762"/>
    <w:rsid w:val="0006084A"/>
    <w:rsid w:val="0006208C"/>
    <w:rsid w:val="00063A66"/>
    <w:rsid w:val="00065F15"/>
    <w:rsid w:val="00070074"/>
    <w:rsid w:val="00071F3D"/>
    <w:rsid w:val="000755EB"/>
    <w:rsid w:val="00081D45"/>
    <w:rsid w:val="00084509"/>
    <w:rsid w:val="000857D5"/>
    <w:rsid w:val="00085D10"/>
    <w:rsid w:val="00090998"/>
    <w:rsid w:val="00093B13"/>
    <w:rsid w:val="00095F17"/>
    <w:rsid w:val="00096B1E"/>
    <w:rsid w:val="00097D97"/>
    <w:rsid w:val="000A0287"/>
    <w:rsid w:val="000A697A"/>
    <w:rsid w:val="000A76F4"/>
    <w:rsid w:val="000B3DE8"/>
    <w:rsid w:val="000B4DEA"/>
    <w:rsid w:val="000B70C9"/>
    <w:rsid w:val="000C0E97"/>
    <w:rsid w:val="000C21E8"/>
    <w:rsid w:val="000C3603"/>
    <w:rsid w:val="000C3FA8"/>
    <w:rsid w:val="000C41B5"/>
    <w:rsid w:val="000C5473"/>
    <w:rsid w:val="000C62AE"/>
    <w:rsid w:val="000C67C1"/>
    <w:rsid w:val="000C721A"/>
    <w:rsid w:val="000D122C"/>
    <w:rsid w:val="000D4097"/>
    <w:rsid w:val="000D78EF"/>
    <w:rsid w:val="000E03AB"/>
    <w:rsid w:val="000E1BA2"/>
    <w:rsid w:val="000E3689"/>
    <w:rsid w:val="000E668C"/>
    <w:rsid w:val="000F215F"/>
    <w:rsid w:val="000F3F23"/>
    <w:rsid w:val="000F7383"/>
    <w:rsid w:val="000F7913"/>
    <w:rsid w:val="0010150B"/>
    <w:rsid w:val="001021F4"/>
    <w:rsid w:val="00102429"/>
    <w:rsid w:val="001024A5"/>
    <w:rsid w:val="00103F85"/>
    <w:rsid w:val="00104680"/>
    <w:rsid w:val="001057C8"/>
    <w:rsid w:val="0011270F"/>
    <w:rsid w:val="00113F23"/>
    <w:rsid w:val="001166BB"/>
    <w:rsid w:val="0011715E"/>
    <w:rsid w:val="00122085"/>
    <w:rsid w:val="00123FBF"/>
    <w:rsid w:val="00124760"/>
    <w:rsid w:val="00131270"/>
    <w:rsid w:val="00131E66"/>
    <w:rsid w:val="0013223A"/>
    <w:rsid w:val="00132B1C"/>
    <w:rsid w:val="001341E4"/>
    <w:rsid w:val="00141074"/>
    <w:rsid w:val="001432A3"/>
    <w:rsid w:val="00144A9C"/>
    <w:rsid w:val="00146F88"/>
    <w:rsid w:val="00152DA2"/>
    <w:rsid w:val="00155720"/>
    <w:rsid w:val="00157A36"/>
    <w:rsid w:val="00157B5F"/>
    <w:rsid w:val="00160EF0"/>
    <w:rsid w:val="0016396D"/>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5103"/>
    <w:rsid w:val="001B7DDB"/>
    <w:rsid w:val="001C1E40"/>
    <w:rsid w:val="001C256F"/>
    <w:rsid w:val="001C4860"/>
    <w:rsid w:val="001C4A2B"/>
    <w:rsid w:val="001C68CC"/>
    <w:rsid w:val="001D005C"/>
    <w:rsid w:val="001D58D8"/>
    <w:rsid w:val="001D6B1C"/>
    <w:rsid w:val="001D745D"/>
    <w:rsid w:val="001D77F4"/>
    <w:rsid w:val="001E1A6D"/>
    <w:rsid w:val="001E2972"/>
    <w:rsid w:val="001E4F45"/>
    <w:rsid w:val="001E5BC2"/>
    <w:rsid w:val="001E622E"/>
    <w:rsid w:val="001E67A2"/>
    <w:rsid w:val="001F0404"/>
    <w:rsid w:val="001F0840"/>
    <w:rsid w:val="001F20E5"/>
    <w:rsid w:val="001F4FFE"/>
    <w:rsid w:val="001F55BC"/>
    <w:rsid w:val="001F6925"/>
    <w:rsid w:val="001F7549"/>
    <w:rsid w:val="00200480"/>
    <w:rsid w:val="00200664"/>
    <w:rsid w:val="0020244B"/>
    <w:rsid w:val="002039F6"/>
    <w:rsid w:val="002065F7"/>
    <w:rsid w:val="00206A67"/>
    <w:rsid w:val="00210CB2"/>
    <w:rsid w:val="00211FC6"/>
    <w:rsid w:val="0021233F"/>
    <w:rsid w:val="00212890"/>
    <w:rsid w:val="00212E4A"/>
    <w:rsid w:val="0021589F"/>
    <w:rsid w:val="00221A14"/>
    <w:rsid w:val="00222DBE"/>
    <w:rsid w:val="0022342C"/>
    <w:rsid w:val="002241F3"/>
    <w:rsid w:val="00224D07"/>
    <w:rsid w:val="00226283"/>
    <w:rsid w:val="00230915"/>
    <w:rsid w:val="00231306"/>
    <w:rsid w:val="00237FED"/>
    <w:rsid w:val="00240F06"/>
    <w:rsid w:val="00241387"/>
    <w:rsid w:val="0024203D"/>
    <w:rsid w:val="00244ABD"/>
    <w:rsid w:val="00247077"/>
    <w:rsid w:val="00250761"/>
    <w:rsid w:val="00250A13"/>
    <w:rsid w:val="002520CC"/>
    <w:rsid w:val="0025504A"/>
    <w:rsid w:val="00255A5D"/>
    <w:rsid w:val="00257AF0"/>
    <w:rsid w:val="002668ED"/>
    <w:rsid w:val="00267C12"/>
    <w:rsid w:val="00270D0F"/>
    <w:rsid w:val="00273D4E"/>
    <w:rsid w:val="00274033"/>
    <w:rsid w:val="002742E6"/>
    <w:rsid w:val="00275DD5"/>
    <w:rsid w:val="00277CAA"/>
    <w:rsid w:val="00280260"/>
    <w:rsid w:val="00280F68"/>
    <w:rsid w:val="002856CF"/>
    <w:rsid w:val="002877A0"/>
    <w:rsid w:val="00291712"/>
    <w:rsid w:val="00294390"/>
    <w:rsid w:val="0029448D"/>
    <w:rsid w:val="00294764"/>
    <w:rsid w:val="00294C2C"/>
    <w:rsid w:val="002A10E0"/>
    <w:rsid w:val="002A6392"/>
    <w:rsid w:val="002A761A"/>
    <w:rsid w:val="002B0DBE"/>
    <w:rsid w:val="002C2AA3"/>
    <w:rsid w:val="002C47F4"/>
    <w:rsid w:val="002C4ADB"/>
    <w:rsid w:val="002C4F25"/>
    <w:rsid w:val="002D2BFF"/>
    <w:rsid w:val="002D4009"/>
    <w:rsid w:val="002D4642"/>
    <w:rsid w:val="002D62DC"/>
    <w:rsid w:val="002D6E4B"/>
    <w:rsid w:val="002E0D2B"/>
    <w:rsid w:val="002E12F2"/>
    <w:rsid w:val="002E165C"/>
    <w:rsid w:val="002E280D"/>
    <w:rsid w:val="002E36B9"/>
    <w:rsid w:val="002E5092"/>
    <w:rsid w:val="002E5E28"/>
    <w:rsid w:val="002E69BE"/>
    <w:rsid w:val="002E74B6"/>
    <w:rsid w:val="002F1D78"/>
    <w:rsid w:val="002F3FBC"/>
    <w:rsid w:val="002F4713"/>
    <w:rsid w:val="002F4BFA"/>
    <w:rsid w:val="002F5B6A"/>
    <w:rsid w:val="002F5FCD"/>
    <w:rsid w:val="00302572"/>
    <w:rsid w:val="00311D22"/>
    <w:rsid w:val="00314066"/>
    <w:rsid w:val="003142AE"/>
    <w:rsid w:val="00315062"/>
    <w:rsid w:val="00315F0E"/>
    <w:rsid w:val="0031633B"/>
    <w:rsid w:val="00316395"/>
    <w:rsid w:val="0031698C"/>
    <w:rsid w:val="00317FF0"/>
    <w:rsid w:val="00320AE7"/>
    <w:rsid w:val="00320B26"/>
    <w:rsid w:val="0032612C"/>
    <w:rsid w:val="003278D8"/>
    <w:rsid w:val="003324AF"/>
    <w:rsid w:val="00332855"/>
    <w:rsid w:val="00337651"/>
    <w:rsid w:val="00341F9B"/>
    <w:rsid w:val="0034392C"/>
    <w:rsid w:val="00343CA8"/>
    <w:rsid w:val="003443F3"/>
    <w:rsid w:val="00346D40"/>
    <w:rsid w:val="00351DAE"/>
    <w:rsid w:val="003536E9"/>
    <w:rsid w:val="003539EC"/>
    <w:rsid w:val="00353ADB"/>
    <w:rsid w:val="003549E7"/>
    <w:rsid w:val="0035725D"/>
    <w:rsid w:val="00357D7D"/>
    <w:rsid w:val="003606B3"/>
    <w:rsid w:val="00360C6F"/>
    <w:rsid w:val="00373838"/>
    <w:rsid w:val="0037534B"/>
    <w:rsid w:val="00375AC7"/>
    <w:rsid w:val="00376797"/>
    <w:rsid w:val="00376D4E"/>
    <w:rsid w:val="00376F89"/>
    <w:rsid w:val="00377A73"/>
    <w:rsid w:val="003902B9"/>
    <w:rsid w:val="003906B5"/>
    <w:rsid w:val="0039272A"/>
    <w:rsid w:val="00393B70"/>
    <w:rsid w:val="003953C4"/>
    <w:rsid w:val="00395F3D"/>
    <w:rsid w:val="00397F1D"/>
    <w:rsid w:val="003A0A4A"/>
    <w:rsid w:val="003A15A0"/>
    <w:rsid w:val="003A220B"/>
    <w:rsid w:val="003A2F29"/>
    <w:rsid w:val="003A43B8"/>
    <w:rsid w:val="003A7120"/>
    <w:rsid w:val="003B0730"/>
    <w:rsid w:val="003B2F3D"/>
    <w:rsid w:val="003B4648"/>
    <w:rsid w:val="003B5A18"/>
    <w:rsid w:val="003B7105"/>
    <w:rsid w:val="003C07A3"/>
    <w:rsid w:val="003C1F48"/>
    <w:rsid w:val="003C2C45"/>
    <w:rsid w:val="003C5066"/>
    <w:rsid w:val="003C50C6"/>
    <w:rsid w:val="003C51C7"/>
    <w:rsid w:val="003C5727"/>
    <w:rsid w:val="003C5BBE"/>
    <w:rsid w:val="003C7B39"/>
    <w:rsid w:val="003D3ABE"/>
    <w:rsid w:val="003D4144"/>
    <w:rsid w:val="003D535B"/>
    <w:rsid w:val="003D5BB6"/>
    <w:rsid w:val="003E1F9E"/>
    <w:rsid w:val="003E29E5"/>
    <w:rsid w:val="003E7F11"/>
    <w:rsid w:val="003F0C62"/>
    <w:rsid w:val="003F1272"/>
    <w:rsid w:val="003F2191"/>
    <w:rsid w:val="003F4B17"/>
    <w:rsid w:val="004019B7"/>
    <w:rsid w:val="00406390"/>
    <w:rsid w:val="0041140E"/>
    <w:rsid w:val="00414B5B"/>
    <w:rsid w:val="00414B85"/>
    <w:rsid w:val="00421453"/>
    <w:rsid w:val="00431FC0"/>
    <w:rsid w:val="0043286B"/>
    <w:rsid w:val="00441B20"/>
    <w:rsid w:val="0044224C"/>
    <w:rsid w:val="004423AB"/>
    <w:rsid w:val="00444093"/>
    <w:rsid w:val="004469E6"/>
    <w:rsid w:val="0044776D"/>
    <w:rsid w:val="004506BC"/>
    <w:rsid w:val="00450D6A"/>
    <w:rsid w:val="00452FE0"/>
    <w:rsid w:val="004536D0"/>
    <w:rsid w:val="00453723"/>
    <w:rsid w:val="00453816"/>
    <w:rsid w:val="00454033"/>
    <w:rsid w:val="00461B0E"/>
    <w:rsid w:val="00462785"/>
    <w:rsid w:val="00463782"/>
    <w:rsid w:val="00464CBE"/>
    <w:rsid w:val="00467366"/>
    <w:rsid w:val="00467E2A"/>
    <w:rsid w:val="00475F37"/>
    <w:rsid w:val="0047657B"/>
    <w:rsid w:val="00476F72"/>
    <w:rsid w:val="00485069"/>
    <w:rsid w:val="004870C3"/>
    <w:rsid w:val="0049044F"/>
    <w:rsid w:val="00490D5F"/>
    <w:rsid w:val="004948BE"/>
    <w:rsid w:val="004949A4"/>
    <w:rsid w:val="004960DE"/>
    <w:rsid w:val="004A5176"/>
    <w:rsid w:val="004A51E3"/>
    <w:rsid w:val="004A5ED3"/>
    <w:rsid w:val="004B2781"/>
    <w:rsid w:val="004B4147"/>
    <w:rsid w:val="004B6441"/>
    <w:rsid w:val="004B7C6C"/>
    <w:rsid w:val="004C0B6B"/>
    <w:rsid w:val="004C2946"/>
    <w:rsid w:val="004C685A"/>
    <w:rsid w:val="004C7E74"/>
    <w:rsid w:val="004D2B1C"/>
    <w:rsid w:val="004D3023"/>
    <w:rsid w:val="004E1381"/>
    <w:rsid w:val="004E1B3E"/>
    <w:rsid w:val="004E42A2"/>
    <w:rsid w:val="004E4C94"/>
    <w:rsid w:val="004E530D"/>
    <w:rsid w:val="004E746A"/>
    <w:rsid w:val="004E77C4"/>
    <w:rsid w:val="004F0122"/>
    <w:rsid w:val="004F38E5"/>
    <w:rsid w:val="004F3956"/>
    <w:rsid w:val="004F4484"/>
    <w:rsid w:val="004F586D"/>
    <w:rsid w:val="004F5A38"/>
    <w:rsid w:val="004F5A8F"/>
    <w:rsid w:val="004F7BD0"/>
    <w:rsid w:val="005039FC"/>
    <w:rsid w:val="00516F27"/>
    <w:rsid w:val="00521B3F"/>
    <w:rsid w:val="005274B9"/>
    <w:rsid w:val="0053027C"/>
    <w:rsid w:val="005305B0"/>
    <w:rsid w:val="00531DB4"/>
    <w:rsid w:val="00532F84"/>
    <w:rsid w:val="00534E8E"/>
    <w:rsid w:val="00536488"/>
    <w:rsid w:val="0053695B"/>
    <w:rsid w:val="005378A2"/>
    <w:rsid w:val="00540CCF"/>
    <w:rsid w:val="00541D66"/>
    <w:rsid w:val="00544C20"/>
    <w:rsid w:val="00547D6E"/>
    <w:rsid w:val="00554D66"/>
    <w:rsid w:val="00556801"/>
    <w:rsid w:val="0055764A"/>
    <w:rsid w:val="0056000B"/>
    <w:rsid w:val="0056285C"/>
    <w:rsid w:val="0056518B"/>
    <w:rsid w:val="005660E9"/>
    <w:rsid w:val="005661EC"/>
    <w:rsid w:val="005674B0"/>
    <w:rsid w:val="00567BC4"/>
    <w:rsid w:val="005718A9"/>
    <w:rsid w:val="005718C3"/>
    <w:rsid w:val="00572595"/>
    <w:rsid w:val="00572FB1"/>
    <w:rsid w:val="005774AC"/>
    <w:rsid w:val="005816E0"/>
    <w:rsid w:val="00586252"/>
    <w:rsid w:val="00586571"/>
    <w:rsid w:val="005900FA"/>
    <w:rsid w:val="00591725"/>
    <w:rsid w:val="00591F3E"/>
    <w:rsid w:val="005921C3"/>
    <w:rsid w:val="005926DA"/>
    <w:rsid w:val="005A05DE"/>
    <w:rsid w:val="005A3E5A"/>
    <w:rsid w:val="005A41A8"/>
    <w:rsid w:val="005A45C7"/>
    <w:rsid w:val="005A5540"/>
    <w:rsid w:val="005A631F"/>
    <w:rsid w:val="005B0103"/>
    <w:rsid w:val="005B6E73"/>
    <w:rsid w:val="005B764E"/>
    <w:rsid w:val="005C1093"/>
    <w:rsid w:val="005C2382"/>
    <w:rsid w:val="005D0395"/>
    <w:rsid w:val="005D0EB6"/>
    <w:rsid w:val="005D297F"/>
    <w:rsid w:val="005D57B1"/>
    <w:rsid w:val="005D5FC9"/>
    <w:rsid w:val="005D6BCD"/>
    <w:rsid w:val="005D6D8C"/>
    <w:rsid w:val="005D78BC"/>
    <w:rsid w:val="005E036C"/>
    <w:rsid w:val="005E0FDF"/>
    <w:rsid w:val="005E1161"/>
    <w:rsid w:val="005E2A1D"/>
    <w:rsid w:val="005E4301"/>
    <w:rsid w:val="005E58C5"/>
    <w:rsid w:val="005F01CB"/>
    <w:rsid w:val="005F1993"/>
    <w:rsid w:val="005F2269"/>
    <w:rsid w:val="005F3D9F"/>
    <w:rsid w:val="005F4D3F"/>
    <w:rsid w:val="005F6338"/>
    <w:rsid w:val="005F6CE2"/>
    <w:rsid w:val="006000DE"/>
    <w:rsid w:val="0060024D"/>
    <w:rsid w:val="006009AC"/>
    <w:rsid w:val="00600FC4"/>
    <w:rsid w:val="006034D7"/>
    <w:rsid w:val="00604653"/>
    <w:rsid w:val="00605355"/>
    <w:rsid w:val="006102F4"/>
    <w:rsid w:val="0061182E"/>
    <w:rsid w:val="0061232B"/>
    <w:rsid w:val="006149F2"/>
    <w:rsid w:val="00616F7A"/>
    <w:rsid w:val="00616FD0"/>
    <w:rsid w:val="006261D3"/>
    <w:rsid w:val="00630D64"/>
    <w:rsid w:val="00633D0E"/>
    <w:rsid w:val="0063513F"/>
    <w:rsid w:val="00645628"/>
    <w:rsid w:val="006466D7"/>
    <w:rsid w:val="00647A57"/>
    <w:rsid w:val="00656AD9"/>
    <w:rsid w:val="006577E9"/>
    <w:rsid w:val="00657FA9"/>
    <w:rsid w:val="00660E8B"/>
    <w:rsid w:val="00663EC5"/>
    <w:rsid w:val="00663EFB"/>
    <w:rsid w:val="006705E6"/>
    <w:rsid w:val="00671446"/>
    <w:rsid w:val="006717AA"/>
    <w:rsid w:val="006724C5"/>
    <w:rsid w:val="0067384B"/>
    <w:rsid w:val="00675439"/>
    <w:rsid w:val="0067543D"/>
    <w:rsid w:val="006756CB"/>
    <w:rsid w:val="006812E4"/>
    <w:rsid w:val="0068512D"/>
    <w:rsid w:val="00685C8D"/>
    <w:rsid w:val="006861E5"/>
    <w:rsid w:val="00686217"/>
    <w:rsid w:val="006973D7"/>
    <w:rsid w:val="006A2078"/>
    <w:rsid w:val="006A5F78"/>
    <w:rsid w:val="006B1545"/>
    <w:rsid w:val="006B1811"/>
    <w:rsid w:val="006B19C3"/>
    <w:rsid w:val="006B1F68"/>
    <w:rsid w:val="006B23FC"/>
    <w:rsid w:val="006B28BC"/>
    <w:rsid w:val="006B340E"/>
    <w:rsid w:val="006B5260"/>
    <w:rsid w:val="006B5292"/>
    <w:rsid w:val="006C3D9A"/>
    <w:rsid w:val="006C7B72"/>
    <w:rsid w:val="006C7EC1"/>
    <w:rsid w:val="006D1522"/>
    <w:rsid w:val="006D19E4"/>
    <w:rsid w:val="006D4331"/>
    <w:rsid w:val="006D523F"/>
    <w:rsid w:val="006D5DE2"/>
    <w:rsid w:val="006E1247"/>
    <w:rsid w:val="006E5EDF"/>
    <w:rsid w:val="006F0090"/>
    <w:rsid w:val="006F1C73"/>
    <w:rsid w:val="006F1CE8"/>
    <w:rsid w:val="006F59AC"/>
    <w:rsid w:val="006F72AD"/>
    <w:rsid w:val="007022C4"/>
    <w:rsid w:val="00707014"/>
    <w:rsid w:val="0070757A"/>
    <w:rsid w:val="00713909"/>
    <w:rsid w:val="00716C3A"/>
    <w:rsid w:val="00721E37"/>
    <w:rsid w:val="00726F77"/>
    <w:rsid w:val="0072721D"/>
    <w:rsid w:val="00727250"/>
    <w:rsid w:val="00727C27"/>
    <w:rsid w:val="00731A51"/>
    <w:rsid w:val="007353E4"/>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6B8"/>
    <w:rsid w:val="007658C4"/>
    <w:rsid w:val="00767915"/>
    <w:rsid w:val="0077076C"/>
    <w:rsid w:val="0077352D"/>
    <w:rsid w:val="00773A5A"/>
    <w:rsid w:val="00773AE3"/>
    <w:rsid w:val="00776816"/>
    <w:rsid w:val="00777DB3"/>
    <w:rsid w:val="0078128E"/>
    <w:rsid w:val="00782D3C"/>
    <w:rsid w:val="00787274"/>
    <w:rsid w:val="00787628"/>
    <w:rsid w:val="007908B7"/>
    <w:rsid w:val="007924B1"/>
    <w:rsid w:val="00793BBE"/>
    <w:rsid w:val="0079475D"/>
    <w:rsid w:val="007955C9"/>
    <w:rsid w:val="007956BD"/>
    <w:rsid w:val="007A03CD"/>
    <w:rsid w:val="007A053E"/>
    <w:rsid w:val="007A158F"/>
    <w:rsid w:val="007A388B"/>
    <w:rsid w:val="007A5518"/>
    <w:rsid w:val="007A6D31"/>
    <w:rsid w:val="007B2013"/>
    <w:rsid w:val="007B4885"/>
    <w:rsid w:val="007B5B0D"/>
    <w:rsid w:val="007B799A"/>
    <w:rsid w:val="007C1A02"/>
    <w:rsid w:val="007C77AA"/>
    <w:rsid w:val="007C7C7C"/>
    <w:rsid w:val="007C7D72"/>
    <w:rsid w:val="007D1EF7"/>
    <w:rsid w:val="007D2229"/>
    <w:rsid w:val="007D5827"/>
    <w:rsid w:val="007E04C0"/>
    <w:rsid w:val="007E1851"/>
    <w:rsid w:val="007E2565"/>
    <w:rsid w:val="007E2A51"/>
    <w:rsid w:val="007E4ADD"/>
    <w:rsid w:val="007E557F"/>
    <w:rsid w:val="007E7BEF"/>
    <w:rsid w:val="007F0369"/>
    <w:rsid w:val="007F1010"/>
    <w:rsid w:val="007F181A"/>
    <w:rsid w:val="007F29CE"/>
    <w:rsid w:val="007F316B"/>
    <w:rsid w:val="007F34B4"/>
    <w:rsid w:val="007F634F"/>
    <w:rsid w:val="00800A0A"/>
    <w:rsid w:val="0080349F"/>
    <w:rsid w:val="00803687"/>
    <w:rsid w:val="008052A3"/>
    <w:rsid w:val="00807FFB"/>
    <w:rsid w:val="00817F53"/>
    <w:rsid w:val="00822C04"/>
    <w:rsid w:val="00827418"/>
    <w:rsid w:val="0083063B"/>
    <w:rsid w:val="008326AD"/>
    <w:rsid w:val="008347E7"/>
    <w:rsid w:val="008362F4"/>
    <w:rsid w:val="00836A96"/>
    <w:rsid w:val="00840509"/>
    <w:rsid w:val="00840DD1"/>
    <w:rsid w:val="008477BE"/>
    <w:rsid w:val="0084792A"/>
    <w:rsid w:val="008511EE"/>
    <w:rsid w:val="008615C4"/>
    <w:rsid w:val="00862790"/>
    <w:rsid w:val="0086304F"/>
    <w:rsid w:val="008645AC"/>
    <w:rsid w:val="008659F9"/>
    <w:rsid w:val="008666BB"/>
    <w:rsid w:val="00866B99"/>
    <w:rsid w:val="00871ACC"/>
    <w:rsid w:val="008724C7"/>
    <w:rsid w:val="00872FBB"/>
    <w:rsid w:val="008753F2"/>
    <w:rsid w:val="00875586"/>
    <w:rsid w:val="00876DAF"/>
    <w:rsid w:val="00876E35"/>
    <w:rsid w:val="00885BC0"/>
    <w:rsid w:val="00886377"/>
    <w:rsid w:val="008900C8"/>
    <w:rsid w:val="008966FC"/>
    <w:rsid w:val="00896801"/>
    <w:rsid w:val="00897617"/>
    <w:rsid w:val="008A1B3B"/>
    <w:rsid w:val="008A5596"/>
    <w:rsid w:val="008A5DF8"/>
    <w:rsid w:val="008A6A2C"/>
    <w:rsid w:val="008C09E8"/>
    <w:rsid w:val="008C0B28"/>
    <w:rsid w:val="008C3ADF"/>
    <w:rsid w:val="008C4542"/>
    <w:rsid w:val="008C4D16"/>
    <w:rsid w:val="008C712B"/>
    <w:rsid w:val="008D0598"/>
    <w:rsid w:val="008D194A"/>
    <w:rsid w:val="008D2EDB"/>
    <w:rsid w:val="008D390C"/>
    <w:rsid w:val="008D3DE2"/>
    <w:rsid w:val="008D3E7A"/>
    <w:rsid w:val="008D5BAD"/>
    <w:rsid w:val="008E0604"/>
    <w:rsid w:val="008E148E"/>
    <w:rsid w:val="008E2D74"/>
    <w:rsid w:val="008E4B3D"/>
    <w:rsid w:val="008F2B0B"/>
    <w:rsid w:val="008F600C"/>
    <w:rsid w:val="008F6E15"/>
    <w:rsid w:val="008F7C18"/>
    <w:rsid w:val="009027CC"/>
    <w:rsid w:val="00903C55"/>
    <w:rsid w:val="00906619"/>
    <w:rsid w:val="0091229A"/>
    <w:rsid w:val="00914A8A"/>
    <w:rsid w:val="00915B9B"/>
    <w:rsid w:val="00915DAA"/>
    <w:rsid w:val="009225E0"/>
    <w:rsid w:val="00923103"/>
    <w:rsid w:val="0092349E"/>
    <w:rsid w:val="00930A4F"/>
    <w:rsid w:val="00930CA4"/>
    <w:rsid w:val="009312C4"/>
    <w:rsid w:val="009319F6"/>
    <w:rsid w:val="00935874"/>
    <w:rsid w:val="0093597C"/>
    <w:rsid w:val="009359AD"/>
    <w:rsid w:val="00942300"/>
    <w:rsid w:val="00944A25"/>
    <w:rsid w:val="00944B86"/>
    <w:rsid w:val="00947119"/>
    <w:rsid w:val="00951D03"/>
    <w:rsid w:val="009536DD"/>
    <w:rsid w:val="00955041"/>
    <w:rsid w:val="00957C4A"/>
    <w:rsid w:val="0096161E"/>
    <w:rsid w:val="009629D1"/>
    <w:rsid w:val="009634AE"/>
    <w:rsid w:val="00966B82"/>
    <w:rsid w:val="0096744A"/>
    <w:rsid w:val="00967C19"/>
    <w:rsid w:val="0097001D"/>
    <w:rsid w:val="009704FD"/>
    <w:rsid w:val="00971E66"/>
    <w:rsid w:val="0097329D"/>
    <w:rsid w:val="00973EE6"/>
    <w:rsid w:val="00976EE7"/>
    <w:rsid w:val="00981FBD"/>
    <w:rsid w:val="0098506A"/>
    <w:rsid w:val="00985216"/>
    <w:rsid w:val="0098528A"/>
    <w:rsid w:val="009874AF"/>
    <w:rsid w:val="00991D93"/>
    <w:rsid w:val="00997BDD"/>
    <w:rsid w:val="00997C14"/>
    <w:rsid w:val="009A00E3"/>
    <w:rsid w:val="009A085C"/>
    <w:rsid w:val="009A29C5"/>
    <w:rsid w:val="009A4486"/>
    <w:rsid w:val="009A4AD6"/>
    <w:rsid w:val="009A4E1C"/>
    <w:rsid w:val="009A7867"/>
    <w:rsid w:val="009B1702"/>
    <w:rsid w:val="009B501C"/>
    <w:rsid w:val="009B6F7B"/>
    <w:rsid w:val="009C01FF"/>
    <w:rsid w:val="009C1B95"/>
    <w:rsid w:val="009C2D14"/>
    <w:rsid w:val="009C3F26"/>
    <w:rsid w:val="009C53BE"/>
    <w:rsid w:val="009C561D"/>
    <w:rsid w:val="009C6FD1"/>
    <w:rsid w:val="009D099F"/>
    <w:rsid w:val="009D2536"/>
    <w:rsid w:val="009D30FA"/>
    <w:rsid w:val="009D42A4"/>
    <w:rsid w:val="009D56BA"/>
    <w:rsid w:val="009D6B8F"/>
    <w:rsid w:val="009D7F08"/>
    <w:rsid w:val="009E2006"/>
    <w:rsid w:val="009E3117"/>
    <w:rsid w:val="009E6E57"/>
    <w:rsid w:val="009F0EFE"/>
    <w:rsid w:val="009F1035"/>
    <w:rsid w:val="009F128D"/>
    <w:rsid w:val="009F5809"/>
    <w:rsid w:val="00A05298"/>
    <w:rsid w:val="00A05A38"/>
    <w:rsid w:val="00A061DD"/>
    <w:rsid w:val="00A0655A"/>
    <w:rsid w:val="00A15F94"/>
    <w:rsid w:val="00A16394"/>
    <w:rsid w:val="00A20665"/>
    <w:rsid w:val="00A21DC4"/>
    <w:rsid w:val="00A277B5"/>
    <w:rsid w:val="00A31FE8"/>
    <w:rsid w:val="00A34FC3"/>
    <w:rsid w:val="00A3661F"/>
    <w:rsid w:val="00A36D84"/>
    <w:rsid w:val="00A402FF"/>
    <w:rsid w:val="00A4314E"/>
    <w:rsid w:val="00A47456"/>
    <w:rsid w:val="00A50245"/>
    <w:rsid w:val="00A5136C"/>
    <w:rsid w:val="00A51D54"/>
    <w:rsid w:val="00A5256D"/>
    <w:rsid w:val="00A55CFD"/>
    <w:rsid w:val="00A56BB2"/>
    <w:rsid w:val="00A60F14"/>
    <w:rsid w:val="00A6352B"/>
    <w:rsid w:val="00A63BA0"/>
    <w:rsid w:val="00A6474B"/>
    <w:rsid w:val="00A65433"/>
    <w:rsid w:val="00A671B6"/>
    <w:rsid w:val="00A67C0D"/>
    <w:rsid w:val="00A67CD5"/>
    <w:rsid w:val="00A7366E"/>
    <w:rsid w:val="00A80096"/>
    <w:rsid w:val="00A82355"/>
    <w:rsid w:val="00A8449C"/>
    <w:rsid w:val="00A84C0E"/>
    <w:rsid w:val="00A8787E"/>
    <w:rsid w:val="00A90CF2"/>
    <w:rsid w:val="00A94DC8"/>
    <w:rsid w:val="00A953DD"/>
    <w:rsid w:val="00A9585D"/>
    <w:rsid w:val="00A97951"/>
    <w:rsid w:val="00AA034E"/>
    <w:rsid w:val="00AA19CC"/>
    <w:rsid w:val="00AA3E90"/>
    <w:rsid w:val="00AA4243"/>
    <w:rsid w:val="00AA6A57"/>
    <w:rsid w:val="00AA755D"/>
    <w:rsid w:val="00AB07A8"/>
    <w:rsid w:val="00AB07ED"/>
    <w:rsid w:val="00AB0F84"/>
    <w:rsid w:val="00AB2DCF"/>
    <w:rsid w:val="00AB3D29"/>
    <w:rsid w:val="00AB5E46"/>
    <w:rsid w:val="00AB665D"/>
    <w:rsid w:val="00AB66C0"/>
    <w:rsid w:val="00AB7CF7"/>
    <w:rsid w:val="00AC073A"/>
    <w:rsid w:val="00AC08CA"/>
    <w:rsid w:val="00AC0F82"/>
    <w:rsid w:val="00AC60D1"/>
    <w:rsid w:val="00AC663E"/>
    <w:rsid w:val="00AC699E"/>
    <w:rsid w:val="00AD32EA"/>
    <w:rsid w:val="00AD41F0"/>
    <w:rsid w:val="00AD5E20"/>
    <w:rsid w:val="00AE1425"/>
    <w:rsid w:val="00AE1F60"/>
    <w:rsid w:val="00AE2B47"/>
    <w:rsid w:val="00AE2F6D"/>
    <w:rsid w:val="00AE33B8"/>
    <w:rsid w:val="00AE4A0B"/>
    <w:rsid w:val="00AE5B5A"/>
    <w:rsid w:val="00AE7C27"/>
    <w:rsid w:val="00AE7EFE"/>
    <w:rsid w:val="00AF0B9D"/>
    <w:rsid w:val="00AF2A4A"/>
    <w:rsid w:val="00B01B41"/>
    <w:rsid w:val="00B06737"/>
    <w:rsid w:val="00B06E74"/>
    <w:rsid w:val="00B07A85"/>
    <w:rsid w:val="00B1142F"/>
    <w:rsid w:val="00B1435D"/>
    <w:rsid w:val="00B14799"/>
    <w:rsid w:val="00B149A7"/>
    <w:rsid w:val="00B15106"/>
    <w:rsid w:val="00B15861"/>
    <w:rsid w:val="00B16E4B"/>
    <w:rsid w:val="00B2077C"/>
    <w:rsid w:val="00B21B12"/>
    <w:rsid w:val="00B22080"/>
    <w:rsid w:val="00B270A4"/>
    <w:rsid w:val="00B27A92"/>
    <w:rsid w:val="00B30347"/>
    <w:rsid w:val="00B305B7"/>
    <w:rsid w:val="00B333FE"/>
    <w:rsid w:val="00B347E4"/>
    <w:rsid w:val="00B3542E"/>
    <w:rsid w:val="00B3582B"/>
    <w:rsid w:val="00B3706B"/>
    <w:rsid w:val="00B40F4B"/>
    <w:rsid w:val="00B448AB"/>
    <w:rsid w:val="00B44ACE"/>
    <w:rsid w:val="00B46224"/>
    <w:rsid w:val="00B47977"/>
    <w:rsid w:val="00B50087"/>
    <w:rsid w:val="00B51719"/>
    <w:rsid w:val="00B53DB6"/>
    <w:rsid w:val="00B554D2"/>
    <w:rsid w:val="00B556B2"/>
    <w:rsid w:val="00B55BBA"/>
    <w:rsid w:val="00B574EB"/>
    <w:rsid w:val="00B57B5E"/>
    <w:rsid w:val="00B6090B"/>
    <w:rsid w:val="00B65DDB"/>
    <w:rsid w:val="00B66B60"/>
    <w:rsid w:val="00B73A29"/>
    <w:rsid w:val="00B76B82"/>
    <w:rsid w:val="00B803FC"/>
    <w:rsid w:val="00B83197"/>
    <w:rsid w:val="00B872AB"/>
    <w:rsid w:val="00B90848"/>
    <w:rsid w:val="00B94DC0"/>
    <w:rsid w:val="00B954EF"/>
    <w:rsid w:val="00BA2F5A"/>
    <w:rsid w:val="00BA3246"/>
    <w:rsid w:val="00BA5DD9"/>
    <w:rsid w:val="00BA649E"/>
    <w:rsid w:val="00BA673B"/>
    <w:rsid w:val="00BA6CE3"/>
    <w:rsid w:val="00BA6FBA"/>
    <w:rsid w:val="00BB01DD"/>
    <w:rsid w:val="00BB04D8"/>
    <w:rsid w:val="00BB1098"/>
    <w:rsid w:val="00BB181A"/>
    <w:rsid w:val="00BB2107"/>
    <w:rsid w:val="00BB237E"/>
    <w:rsid w:val="00BB40D2"/>
    <w:rsid w:val="00BB42EE"/>
    <w:rsid w:val="00BC004D"/>
    <w:rsid w:val="00BC1E4F"/>
    <w:rsid w:val="00BC2CF9"/>
    <w:rsid w:val="00BC5BB5"/>
    <w:rsid w:val="00BC7052"/>
    <w:rsid w:val="00BD0CFB"/>
    <w:rsid w:val="00BD2EC1"/>
    <w:rsid w:val="00BD3EE9"/>
    <w:rsid w:val="00BD4FD8"/>
    <w:rsid w:val="00BE0172"/>
    <w:rsid w:val="00BE0984"/>
    <w:rsid w:val="00BE0BDC"/>
    <w:rsid w:val="00BE2261"/>
    <w:rsid w:val="00BE398F"/>
    <w:rsid w:val="00BE3B81"/>
    <w:rsid w:val="00BE63C5"/>
    <w:rsid w:val="00BE7708"/>
    <w:rsid w:val="00BE786E"/>
    <w:rsid w:val="00BF434C"/>
    <w:rsid w:val="00BF49EF"/>
    <w:rsid w:val="00C043D7"/>
    <w:rsid w:val="00C05C8A"/>
    <w:rsid w:val="00C05F06"/>
    <w:rsid w:val="00C064D9"/>
    <w:rsid w:val="00C07F42"/>
    <w:rsid w:val="00C1728C"/>
    <w:rsid w:val="00C208DE"/>
    <w:rsid w:val="00C22433"/>
    <w:rsid w:val="00C23112"/>
    <w:rsid w:val="00C23243"/>
    <w:rsid w:val="00C24151"/>
    <w:rsid w:val="00C317AB"/>
    <w:rsid w:val="00C34138"/>
    <w:rsid w:val="00C3682E"/>
    <w:rsid w:val="00C455F8"/>
    <w:rsid w:val="00C45829"/>
    <w:rsid w:val="00C45BBA"/>
    <w:rsid w:val="00C47927"/>
    <w:rsid w:val="00C50309"/>
    <w:rsid w:val="00C50869"/>
    <w:rsid w:val="00C522AB"/>
    <w:rsid w:val="00C53E66"/>
    <w:rsid w:val="00C5571B"/>
    <w:rsid w:val="00C57560"/>
    <w:rsid w:val="00C60F20"/>
    <w:rsid w:val="00C62BAB"/>
    <w:rsid w:val="00C67A4B"/>
    <w:rsid w:val="00C67CE4"/>
    <w:rsid w:val="00C70F5A"/>
    <w:rsid w:val="00C81D87"/>
    <w:rsid w:val="00C862A0"/>
    <w:rsid w:val="00C86BD6"/>
    <w:rsid w:val="00C87D79"/>
    <w:rsid w:val="00C91306"/>
    <w:rsid w:val="00C91641"/>
    <w:rsid w:val="00C91C53"/>
    <w:rsid w:val="00C925FD"/>
    <w:rsid w:val="00C966A6"/>
    <w:rsid w:val="00C96734"/>
    <w:rsid w:val="00C97198"/>
    <w:rsid w:val="00CA1706"/>
    <w:rsid w:val="00CA6013"/>
    <w:rsid w:val="00CB08F7"/>
    <w:rsid w:val="00CB2087"/>
    <w:rsid w:val="00CB2A7B"/>
    <w:rsid w:val="00CB7F8B"/>
    <w:rsid w:val="00CC0D9E"/>
    <w:rsid w:val="00CC16E7"/>
    <w:rsid w:val="00CC182D"/>
    <w:rsid w:val="00CC2D84"/>
    <w:rsid w:val="00CC30AB"/>
    <w:rsid w:val="00CC37BD"/>
    <w:rsid w:val="00CC54DA"/>
    <w:rsid w:val="00CC64F7"/>
    <w:rsid w:val="00CD3AB1"/>
    <w:rsid w:val="00CD4988"/>
    <w:rsid w:val="00CD55E5"/>
    <w:rsid w:val="00CD6247"/>
    <w:rsid w:val="00CE06B2"/>
    <w:rsid w:val="00CE15AE"/>
    <w:rsid w:val="00CF44F7"/>
    <w:rsid w:val="00CF4B10"/>
    <w:rsid w:val="00CF51FD"/>
    <w:rsid w:val="00D00064"/>
    <w:rsid w:val="00D0013D"/>
    <w:rsid w:val="00D00F60"/>
    <w:rsid w:val="00D0224C"/>
    <w:rsid w:val="00D03404"/>
    <w:rsid w:val="00D05C68"/>
    <w:rsid w:val="00D06F47"/>
    <w:rsid w:val="00D1094A"/>
    <w:rsid w:val="00D12D97"/>
    <w:rsid w:val="00D13CF6"/>
    <w:rsid w:val="00D147A9"/>
    <w:rsid w:val="00D14868"/>
    <w:rsid w:val="00D179E6"/>
    <w:rsid w:val="00D20571"/>
    <w:rsid w:val="00D223E5"/>
    <w:rsid w:val="00D23F45"/>
    <w:rsid w:val="00D25E06"/>
    <w:rsid w:val="00D312C0"/>
    <w:rsid w:val="00D31672"/>
    <w:rsid w:val="00D34186"/>
    <w:rsid w:val="00D41D37"/>
    <w:rsid w:val="00D43984"/>
    <w:rsid w:val="00D43F64"/>
    <w:rsid w:val="00D448E1"/>
    <w:rsid w:val="00D44E36"/>
    <w:rsid w:val="00D47576"/>
    <w:rsid w:val="00D506D7"/>
    <w:rsid w:val="00D53EE9"/>
    <w:rsid w:val="00D55B71"/>
    <w:rsid w:val="00D563CC"/>
    <w:rsid w:val="00D5671E"/>
    <w:rsid w:val="00D57C2E"/>
    <w:rsid w:val="00D57CB5"/>
    <w:rsid w:val="00D636DB"/>
    <w:rsid w:val="00D65AA8"/>
    <w:rsid w:val="00D72EFB"/>
    <w:rsid w:val="00D73E10"/>
    <w:rsid w:val="00D757CE"/>
    <w:rsid w:val="00D76D80"/>
    <w:rsid w:val="00D80B8E"/>
    <w:rsid w:val="00D80E1E"/>
    <w:rsid w:val="00D81E25"/>
    <w:rsid w:val="00D878EE"/>
    <w:rsid w:val="00D91171"/>
    <w:rsid w:val="00D95A9D"/>
    <w:rsid w:val="00D95ABC"/>
    <w:rsid w:val="00D970B0"/>
    <w:rsid w:val="00D975E7"/>
    <w:rsid w:val="00D97ECB"/>
    <w:rsid w:val="00D97F55"/>
    <w:rsid w:val="00DA08FE"/>
    <w:rsid w:val="00DA127D"/>
    <w:rsid w:val="00DA1860"/>
    <w:rsid w:val="00DA5084"/>
    <w:rsid w:val="00DA58AF"/>
    <w:rsid w:val="00DA6314"/>
    <w:rsid w:val="00DB00D9"/>
    <w:rsid w:val="00DB1126"/>
    <w:rsid w:val="00DB42E7"/>
    <w:rsid w:val="00DB46C3"/>
    <w:rsid w:val="00DB553D"/>
    <w:rsid w:val="00DB7D95"/>
    <w:rsid w:val="00DC0369"/>
    <w:rsid w:val="00DC1B2C"/>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E67D6"/>
    <w:rsid w:val="00DE6AED"/>
    <w:rsid w:val="00DF07FC"/>
    <w:rsid w:val="00DF24C0"/>
    <w:rsid w:val="00DF5986"/>
    <w:rsid w:val="00DF5ABB"/>
    <w:rsid w:val="00DF5D23"/>
    <w:rsid w:val="00E00702"/>
    <w:rsid w:val="00E023A7"/>
    <w:rsid w:val="00E03088"/>
    <w:rsid w:val="00E03522"/>
    <w:rsid w:val="00E0400B"/>
    <w:rsid w:val="00E04743"/>
    <w:rsid w:val="00E070CA"/>
    <w:rsid w:val="00E07AAD"/>
    <w:rsid w:val="00E07E45"/>
    <w:rsid w:val="00E10762"/>
    <w:rsid w:val="00E12B24"/>
    <w:rsid w:val="00E14863"/>
    <w:rsid w:val="00E17007"/>
    <w:rsid w:val="00E17240"/>
    <w:rsid w:val="00E21CB7"/>
    <w:rsid w:val="00E24779"/>
    <w:rsid w:val="00E27D09"/>
    <w:rsid w:val="00E33680"/>
    <w:rsid w:val="00E377FE"/>
    <w:rsid w:val="00E415F3"/>
    <w:rsid w:val="00E429E7"/>
    <w:rsid w:val="00E44200"/>
    <w:rsid w:val="00E44F0B"/>
    <w:rsid w:val="00E457E7"/>
    <w:rsid w:val="00E468EC"/>
    <w:rsid w:val="00E46F87"/>
    <w:rsid w:val="00E47863"/>
    <w:rsid w:val="00E4786E"/>
    <w:rsid w:val="00E50650"/>
    <w:rsid w:val="00E527B2"/>
    <w:rsid w:val="00E53468"/>
    <w:rsid w:val="00E537E1"/>
    <w:rsid w:val="00E552A3"/>
    <w:rsid w:val="00E567EC"/>
    <w:rsid w:val="00E57E1C"/>
    <w:rsid w:val="00E64005"/>
    <w:rsid w:val="00E64CB3"/>
    <w:rsid w:val="00E726FA"/>
    <w:rsid w:val="00E76581"/>
    <w:rsid w:val="00E773C4"/>
    <w:rsid w:val="00E81E3B"/>
    <w:rsid w:val="00E830A5"/>
    <w:rsid w:val="00E83CD0"/>
    <w:rsid w:val="00E84917"/>
    <w:rsid w:val="00E85FF7"/>
    <w:rsid w:val="00E86E88"/>
    <w:rsid w:val="00E87904"/>
    <w:rsid w:val="00E90D07"/>
    <w:rsid w:val="00E91FF5"/>
    <w:rsid w:val="00E93CF9"/>
    <w:rsid w:val="00E9524E"/>
    <w:rsid w:val="00EA3D1A"/>
    <w:rsid w:val="00EA7E3D"/>
    <w:rsid w:val="00EB2B80"/>
    <w:rsid w:val="00EB4518"/>
    <w:rsid w:val="00EB54CD"/>
    <w:rsid w:val="00EB6293"/>
    <w:rsid w:val="00EB6674"/>
    <w:rsid w:val="00EB7532"/>
    <w:rsid w:val="00EC1D90"/>
    <w:rsid w:val="00EC2522"/>
    <w:rsid w:val="00EC6C15"/>
    <w:rsid w:val="00EC6C32"/>
    <w:rsid w:val="00EC7F7C"/>
    <w:rsid w:val="00ED3253"/>
    <w:rsid w:val="00ED645B"/>
    <w:rsid w:val="00ED6460"/>
    <w:rsid w:val="00EE0737"/>
    <w:rsid w:val="00EE2E86"/>
    <w:rsid w:val="00EE3421"/>
    <w:rsid w:val="00EE49A4"/>
    <w:rsid w:val="00EF1C04"/>
    <w:rsid w:val="00EF1E8F"/>
    <w:rsid w:val="00EF5442"/>
    <w:rsid w:val="00EF7919"/>
    <w:rsid w:val="00F030DB"/>
    <w:rsid w:val="00F0385E"/>
    <w:rsid w:val="00F06079"/>
    <w:rsid w:val="00F14700"/>
    <w:rsid w:val="00F14F76"/>
    <w:rsid w:val="00F175B5"/>
    <w:rsid w:val="00F208D8"/>
    <w:rsid w:val="00F26202"/>
    <w:rsid w:val="00F303A3"/>
    <w:rsid w:val="00F30E07"/>
    <w:rsid w:val="00F35D9F"/>
    <w:rsid w:val="00F35E68"/>
    <w:rsid w:val="00F42961"/>
    <w:rsid w:val="00F43C01"/>
    <w:rsid w:val="00F440C1"/>
    <w:rsid w:val="00F4413D"/>
    <w:rsid w:val="00F47D7C"/>
    <w:rsid w:val="00F51BB5"/>
    <w:rsid w:val="00F51DF1"/>
    <w:rsid w:val="00F535E7"/>
    <w:rsid w:val="00F54EFA"/>
    <w:rsid w:val="00F55CEF"/>
    <w:rsid w:val="00F562CC"/>
    <w:rsid w:val="00F56B1D"/>
    <w:rsid w:val="00F56F3A"/>
    <w:rsid w:val="00F57124"/>
    <w:rsid w:val="00F57D82"/>
    <w:rsid w:val="00F601AF"/>
    <w:rsid w:val="00F617E4"/>
    <w:rsid w:val="00F63385"/>
    <w:rsid w:val="00F6406C"/>
    <w:rsid w:val="00F65020"/>
    <w:rsid w:val="00F65565"/>
    <w:rsid w:val="00F65F45"/>
    <w:rsid w:val="00F70734"/>
    <w:rsid w:val="00F7135C"/>
    <w:rsid w:val="00F74F27"/>
    <w:rsid w:val="00F80D9C"/>
    <w:rsid w:val="00F83367"/>
    <w:rsid w:val="00F87601"/>
    <w:rsid w:val="00F877B8"/>
    <w:rsid w:val="00F909F2"/>
    <w:rsid w:val="00F92368"/>
    <w:rsid w:val="00F93BE2"/>
    <w:rsid w:val="00F949F2"/>
    <w:rsid w:val="00F959B1"/>
    <w:rsid w:val="00FA0739"/>
    <w:rsid w:val="00FA1426"/>
    <w:rsid w:val="00FA4C44"/>
    <w:rsid w:val="00FA4FD2"/>
    <w:rsid w:val="00FA5593"/>
    <w:rsid w:val="00FA569C"/>
    <w:rsid w:val="00FA72FC"/>
    <w:rsid w:val="00FA7704"/>
    <w:rsid w:val="00FB0360"/>
    <w:rsid w:val="00FB1584"/>
    <w:rsid w:val="00FB1792"/>
    <w:rsid w:val="00FB6812"/>
    <w:rsid w:val="00FB6D1A"/>
    <w:rsid w:val="00FC4CBE"/>
    <w:rsid w:val="00FC56E5"/>
    <w:rsid w:val="00FC5FE0"/>
    <w:rsid w:val="00FC69CE"/>
    <w:rsid w:val="00FD07FF"/>
    <w:rsid w:val="00FD0F26"/>
    <w:rsid w:val="00FD20BF"/>
    <w:rsid w:val="00FD38D7"/>
    <w:rsid w:val="00FD5911"/>
    <w:rsid w:val="00FE1443"/>
    <w:rsid w:val="00FF2D06"/>
    <w:rsid w:val="00FF43FB"/>
    <w:rsid w:val="00FF7718"/>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375128685">
      <w:bodyDiv w:val="1"/>
      <w:marLeft w:val="0"/>
      <w:marRight w:val="0"/>
      <w:marTop w:val="0"/>
      <w:marBottom w:val="0"/>
      <w:divBdr>
        <w:top w:val="none" w:sz="0" w:space="0" w:color="auto"/>
        <w:left w:val="none" w:sz="0" w:space="0" w:color="auto"/>
        <w:bottom w:val="none" w:sz="0" w:space="0" w:color="auto"/>
        <w:right w:val="none" w:sz="0" w:space="0" w:color="auto"/>
      </w:divBdr>
      <w:divsChild>
        <w:div w:id="1440954423">
          <w:marLeft w:val="0"/>
          <w:marRight w:val="0"/>
          <w:marTop w:val="0"/>
          <w:marBottom w:val="0"/>
          <w:divBdr>
            <w:top w:val="none" w:sz="0" w:space="0" w:color="auto"/>
            <w:left w:val="none" w:sz="0" w:space="0" w:color="auto"/>
            <w:bottom w:val="none" w:sz="0" w:space="0" w:color="auto"/>
            <w:right w:val="none" w:sz="0" w:space="0" w:color="auto"/>
          </w:divBdr>
        </w:div>
        <w:div w:id="727463017">
          <w:marLeft w:val="0"/>
          <w:marRight w:val="0"/>
          <w:marTop w:val="0"/>
          <w:marBottom w:val="0"/>
          <w:divBdr>
            <w:top w:val="none" w:sz="0" w:space="0" w:color="auto"/>
            <w:left w:val="none" w:sz="0" w:space="0" w:color="auto"/>
            <w:bottom w:val="none" w:sz="0" w:space="0" w:color="auto"/>
            <w:right w:val="none" w:sz="0" w:space="0" w:color="auto"/>
          </w:divBdr>
        </w:div>
        <w:div w:id="1029338458">
          <w:marLeft w:val="0"/>
          <w:marRight w:val="0"/>
          <w:marTop w:val="0"/>
          <w:marBottom w:val="0"/>
          <w:divBdr>
            <w:top w:val="none" w:sz="0" w:space="0" w:color="auto"/>
            <w:left w:val="none" w:sz="0" w:space="0" w:color="auto"/>
            <w:bottom w:val="none" w:sz="0" w:space="0" w:color="auto"/>
            <w:right w:val="none" w:sz="0" w:space="0" w:color="auto"/>
          </w:divBdr>
        </w:div>
      </w:divsChild>
    </w:div>
    <w:div w:id="580138375">
      <w:bodyDiv w:val="1"/>
      <w:marLeft w:val="0"/>
      <w:marRight w:val="0"/>
      <w:marTop w:val="0"/>
      <w:marBottom w:val="0"/>
      <w:divBdr>
        <w:top w:val="none" w:sz="0" w:space="0" w:color="auto"/>
        <w:left w:val="none" w:sz="0" w:space="0" w:color="auto"/>
        <w:bottom w:val="none" w:sz="0" w:space="0" w:color="auto"/>
        <w:right w:val="none" w:sz="0" w:space="0" w:color="auto"/>
      </w:divBdr>
      <w:divsChild>
        <w:div w:id="1162936472">
          <w:marLeft w:val="0"/>
          <w:marRight w:val="0"/>
          <w:marTop w:val="0"/>
          <w:marBottom w:val="0"/>
          <w:divBdr>
            <w:top w:val="none" w:sz="0" w:space="0" w:color="auto"/>
            <w:left w:val="none" w:sz="0" w:space="0" w:color="auto"/>
            <w:bottom w:val="none" w:sz="0" w:space="0" w:color="auto"/>
            <w:right w:val="none" w:sz="0" w:space="0" w:color="auto"/>
          </w:divBdr>
        </w:div>
        <w:div w:id="1603538122">
          <w:marLeft w:val="0"/>
          <w:marRight w:val="0"/>
          <w:marTop w:val="0"/>
          <w:marBottom w:val="0"/>
          <w:divBdr>
            <w:top w:val="none" w:sz="0" w:space="0" w:color="auto"/>
            <w:left w:val="none" w:sz="0" w:space="0" w:color="auto"/>
            <w:bottom w:val="none" w:sz="0" w:space="0" w:color="auto"/>
            <w:right w:val="none" w:sz="0" w:space="0" w:color="auto"/>
          </w:divBdr>
        </w:div>
        <w:div w:id="788938897">
          <w:marLeft w:val="0"/>
          <w:marRight w:val="0"/>
          <w:marTop w:val="0"/>
          <w:marBottom w:val="0"/>
          <w:divBdr>
            <w:top w:val="none" w:sz="0" w:space="0" w:color="auto"/>
            <w:left w:val="none" w:sz="0" w:space="0" w:color="auto"/>
            <w:bottom w:val="none" w:sz="0" w:space="0" w:color="auto"/>
            <w:right w:val="none" w:sz="0" w:space="0" w:color="auto"/>
          </w:divBdr>
        </w:div>
      </w:divsChild>
    </w:div>
    <w:div w:id="609095592">
      <w:bodyDiv w:val="1"/>
      <w:marLeft w:val="0"/>
      <w:marRight w:val="0"/>
      <w:marTop w:val="0"/>
      <w:marBottom w:val="0"/>
      <w:divBdr>
        <w:top w:val="none" w:sz="0" w:space="0" w:color="auto"/>
        <w:left w:val="none" w:sz="0" w:space="0" w:color="auto"/>
        <w:bottom w:val="none" w:sz="0" w:space="0" w:color="auto"/>
        <w:right w:val="none" w:sz="0" w:space="0" w:color="auto"/>
      </w:divBdr>
    </w:div>
    <w:div w:id="71192285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81">
          <w:marLeft w:val="0"/>
          <w:marRight w:val="0"/>
          <w:marTop w:val="0"/>
          <w:marBottom w:val="0"/>
          <w:divBdr>
            <w:top w:val="none" w:sz="0" w:space="0" w:color="auto"/>
            <w:left w:val="none" w:sz="0" w:space="0" w:color="auto"/>
            <w:bottom w:val="none" w:sz="0" w:space="0" w:color="auto"/>
            <w:right w:val="none" w:sz="0" w:space="0" w:color="auto"/>
          </w:divBdr>
        </w:div>
      </w:divsChild>
    </w:div>
    <w:div w:id="820464065">
      <w:bodyDiv w:val="1"/>
      <w:marLeft w:val="0"/>
      <w:marRight w:val="0"/>
      <w:marTop w:val="0"/>
      <w:marBottom w:val="0"/>
      <w:divBdr>
        <w:top w:val="none" w:sz="0" w:space="0" w:color="auto"/>
        <w:left w:val="none" w:sz="0" w:space="0" w:color="auto"/>
        <w:bottom w:val="none" w:sz="0" w:space="0" w:color="auto"/>
        <w:right w:val="none" w:sz="0" w:space="0" w:color="auto"/>
      </w:divBdr>
      <w:divsChild>
        <w:div w:id="64225726">
          <w:marLeft w:val="0"/>
          <w:marRight w:val="0"/>
          <w:marTop w:val="0"/>
          <w:marBottom w:val="0"/>
          <w:divBdr>
            <w:top w:val="none" w:sz="0" w:space="0" w:color="auto"/>
            <w:left w:val="none" w:sz="0" w:space="0" w:color="auto"/>
            <w:bottom w:val="none" w:sz="0" w:space="0" w:color="auto"/>
            <w:right w:val="none" w:sz="0" w:space="0" w:color="auto"/>
          </w:divBdr>
        </w:div>
        <w:div w:id="1760054313">
          <w:marLeft w:val="0"/>
          <w:marRight w:val="0"/>
          <w:marTop w:val="0"/>
          <w:marBottom w:val="0"/>
          <w:divBdr>
            <w:top w:val="none" w:sz="0" w:space="0" w:color="auto"/>
            <w:left w:val="none" w:sz="0" w:space="0" w:color="auto"/>
            <w:bottom w:val="none" w:sz="0" w:space="0" w:color="auto"/>
            <w:right w:val="none" w:sz="0" w:space="0" w:color="auto"/>
          </w:divBdr>
        </w:div>
        <w:div w:id="1711225341">
          <w:marLeft w:val="0"/>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newsroom/irs-provides-guidance-on-premium-assistance-and-tax-credit-for-continuation-health-cover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2.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3.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Sarah Grcevich</cp:lastModifiedBy>
  <cp:revision>4</cp:revision>
  <cp:lastPrinted>2015-06-14T11:42:00Z</cp:lastPrinted>
  <dcterms:created xsi:type="dcterms:W3CDTF">2021-05-21T19:52:00Z</dcterms:created>
  <dcterms:modified xsi:type="dcterms:W3CDTF">2021-05-21T20:02:00Z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