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43D0" w14:textId="0913AA49" w:rsidR="00970040" w:rsidRPr="00B916AE" w:rsidRDefault="00970040" w:rsidP="00563869">
      <w:pPr>
        <w:shd w:val="clear" w:color="auto" w:fill="FFFFFF"/>
        <w:spacing w:before="60" w:after="45" w:line="240" w:lineRule="auto"/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</w:rPr>
      </w:pPr>
      <w:r w:rsidRPr="00B916AE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</w:rPr>
        <w:t>Question: If an employee refuses to get vaccinated, am I able to prevent them from enrolling in our health plan?</w:t>
      </w:r>
    </w:p>
    <w:p w14:paraId="2B8A4803" w14:textId="1E815C1D" w:rsidR="00970040" w:rsidRPr="00B916AE" w:rsidRDefault="00970040" w:rsidP="00563869">
      <w:pPr>
        <w:shd w:val="clear" w:color="auto" w:fill="FFFFFF"/>
        <w:spacing w:before="60" w:after="45" w:line="240" w:lineRule="auto"/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</w:rPr>
      </w:pPr>
    </w:p>
    <w:p w14:paraId="71B3403C" w14:textId="756D17F3" w:rsidR="00466881" w:rsidRPr="00B916AE" w:rsidRDefault="00970040" w:rsidP="0046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Answer: </w:t>
      </w: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HIPAA nondiscrimination rules prohibit discriminating </w:t>
      </w:r>
      <w:r w:rsidR="00466881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>with respect to</w:t>
      </w: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eligibility or coverage based on health </w:t>
      </w:r>
      <w:r w:rsidR="00466881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factors (which includes the receipt of health care). Vaccines are likely health factors and therefore subject to these nondiscrimination rules. </w:t>
      </w:r>
      <w:r w:rsidR="00466881"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>The health factor is the employee’s receipt of health care in the form of the vaccine.</w:t>
      </w:r>
      <w:r w:rsid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</w:t>
      </w:r>
      <w:r w:rsidR="00466881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Therefore, it would not be permissible for an employer to exclude an individual from coverage under the health plan </w:t>
      </w:r>
      <w:r w:rsidR="00466881" w:rsidRPr="00B916AE">
        <w:rPr>
          <w:rFonts w:ascii="Arial" w:eastAsia="Times New Roman" w:hAnsi="Arial" w:cs="Arial"/>
          <w:color w:val="000000"/>
          <w:spacing w:val="2"/>
          <w:sz w:val="21"/>
          <w:szCs w:val="21"/>
          <w:u w:val="single"/>
        </w:rPr>
        <w:t>or</w:t>
      </w:r>
      <w:r w:rsidR="00466881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to exclude coverage for COVID-19 treatment based on the individual’s failure to receive a COVID vaccine. </w:t>
      </w:r>
      <w:r w:rsid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(Note – we don’t believe </w:t>
      </w:r>
      <w:r w:rsidR="00B916AE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>a “source of injury” exception would work as a basis for this type of exclusion.</w:t>
      </w:r>
      <w:r w:rsid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>)</w:t>
      </w:r>
    </w:p>
    <w:p w14:paraId="64E4F5D5" w14:textId="77777777" w:rsidR="00EA055E" w:rsidRPr="00B916AE" w:rsidRDefault="00EA055E" w:rsidP="00466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</w:p>
    <w:p w14:paraId="35FF8D1E" w14:textId="53735045" w:rsidR="00970040" w:rsidRDefault="00970040" w:rsidP="00970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While </w:t>
      </w:r>
      <w:r w:rsidR="00EA055E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>it is likely impermissible to tie</w:t>
      </w: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eligibility or coverage levels to vaccinations, there may be room to impose premium differentials or different cost-sharing for such individuals who enroll in the plan if the employer follows the HIPAA wellness rules for a health-contingent plan. HIPAA’s nondiscrimination rules include an exception allowing group health plans to offer </w:t>
      </w: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  <w:u w:val="single"/>
        </w:rPr>
        <w:t>different premium, contribution, and cost-sharing amounts</w:t>
      </w:r>
      <w:r w:rsidRPr="00563869">
        <w:rPr>
          <w:rFonts w:ascii="Arial" w:eastAsia="Times New Roman" w:hAnsi="Arial" w:cs="Arial"/>
          <w:color w:val="000000"/>
          <w:spacing w:val="2"/>
          <w:sz w:val="21"/>
          <w:szCs w:val="21"/>
        </w:rPr>
        <w:t> in accordance with a compliant wellness program (Treas. Reg. §54.9802-1(f)). For example, there could be a surcharge on their monthly employee contribution, a higher deductible, or higher coinsurance/copays so long as the employer offers a reasonable alternative standard to individuals who cannot receive the vaccine due to a health status factor and the penalty is limited to no more than 30% of the total cost of coverage. </w:t>
      </w:r>
      <w:r w:rsidR="00EA055E" w:rsidRP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For more information on wellness plan considerations with respect to this type of incentive, please see our employer alert on this topic here: </w:t>
      </w:r>
      <w:hyperlink r:id="rId4" w:history="1">
        <w:r w:rsidR="00B916AE" w:rsidRPr="0013072B">
          <w:rPr>
            <w:rStyle w:val="Hyperlink"/>
            <w:rFonts w:ascii="Arial" w:eastAsia="Times New Roman" w:hAnsi="Arial" w:cs="Arial"/>
            <w:spacing w:val="2"/>
            <w:sz w:val="21"/>
            <w:szCs w:val="21"/>
          </w:rPr>
          <w:t>https://www.benefitcomply.com/resources/2021/09/08/covid-vaccination-incentives/</w:t>
        </w:r>
      </w:hyperlink>
      <w:r w:rsidR="00B916AE">
        <w:rPr>
          <w:rFonts w:ascii="Arial" w:eastAsia="Times New Roman" w:hAnsi="Arial" w:cs="Arial"/>
          <w:color w:val="000000"/>
          <w:spacing w:val="2"/>
          <w:sz w:val="21"/>
          <w:szCs w:val="21"/>
        </w:rPr>
        <w:t>.</w:t>
      </w:r>
    </w:p>
    <w:p w14:paraId="2E9CE113" w14:textId="77777777" w:rsidR="00B916AE" w:rsidRDefault="00B916AE" w:rsidP="00970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</w:p>
    <w:p w14:paraId="264C1669" w14:textId="77777777" w:rsidR="00B916AE" w:rsidRPr="00563869" w:rsidRDefault="00B916AE" w:rsidP="00970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</w:p>
    <w:p w14:paraId="08F30426" w14:textId="77777777" w:rsidR="00970040" w:rsidRDefault="00970040" w:rsidP="00563869">
      <w:pPr>
        <w:shd w:val="clear" w:color="auto" w:fill="FFFFFF"/>
        <w:spacing w:before="60" w:after="45" w:line="240" w:lineRule="auto"/>
        <w:rPr>
          <w:rFonts w:ascii="Segoe UI" w:eastAsia="Times New Roman" w:hAnsi="Segoe UI" w:cs="Segoe UI"/>
          <w:color w:val="000000"/>
          <w:spacing w:val="2"/>
          <w:sz w:val="21"/>
          <w:szCs w:val="21"/>
        </w:rPr>
      </w:pPr>
    </w:p>
    <w:p w14:paraId="2383D4B4" w14:textId="5DF8F65B" w:rsidR="001B22D2" w:rsidRDefault="00563869" w:rsidP="002E0C33">
      <w:pPr>
        <w:shd w:val="clear" w:color="auto" w:fill="FFFFFF"/>
        <w:spacing w:before="60" w:after="45" w:line="240" w:lineRule="auto"/>
      </w:pPr>
      <w:r w:rsidRPr="00563869">
        <w:rPr>
          <w:rFonts w:ascii="Segoe UI" w:eastAsia="Times New Roman" w:hAnsi="Segoe UI" w:cs="Segoe UI"/>
          <w:color w:val="000000"/>
          <w:spacing w:val="2"/>
          <w:sz w:val="21"/>
          <w:szCs w:val="21"/>
        </w:rPr>
        <w:t> </w:t>
      </w:r>
    </w:p>
    <w:p w14:paraId="0650C03C" w14:textId="77777777" w:rsidR="00563869" w:rsidRDefault="00563869"/>
    <w:sectPr w:rsidR="0056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69"/>
    <w:rsid w:val="001B22D2"/>
    <w:rsid w:val="002E0C33"/>
    <w:rsid w:val="00466881"/>
    <w:rsid w:val="004A44B3"/>
    <w:rsid w:val="004E31E0"/>
    <w:rsid w:val="00563869"/>
    <w:rsid w:val="008760EE"/>
    <w:rsid w:val="00970040"/>
    <w:rsid w:val="00B916AE"/>
    <w:rsid w:val="00BD6DEF"/>
    <w:rsid w:val="00E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E968"/>
  <w15:chartTrackingRefBased/>
  <w15:docId w15:val="{064A0F79-112B-44C9-B8EE-B9155D9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869"/>
    <w:rPr>
      <w:color w:val="0000FF"/>
      <w:u w:val="single"/>
    </w:rPr>
  </w:style>
  <w:style w:type="character" w:customStyle="1" w:styleId="x-1028432925mark2ej9x82h0">
    <w:name w:val="x_-1028432925mark2ej9x82h0"/>
    <w:basedOn w:val="DefaultParagraphFont"/>
    <w:rsid w:val="00563869"/>
  </w:style>
  <w:style w:type="character" w:styleId="UnresolvedMention">
    <w:name w:val="Unresolved Mention"/>
    <w:basedOn w:val="DefaultParagraphFont"/>
    <w:uiPriority w:val="99"/>
    <w:semiHidden/>
    <w:unhideWhenUsed/>
    <w:rsid w:val="00B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5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7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nefitcomply.com/resources/2021/09/08/covid-vaccination-incen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Grcevich</dc:creator>
  <cp:keywords/>
  <dc:description/>
  <cp:lastModifiedBy>Ben James</cp:lastModifiedBy>
  <cp:revision>2</cp:revision>
  <cp:lastPrinted>2021-09-09T16:06:00Z</cp:lastPrinted>
  <dcterms:created xsi:type="dcterms:W3CDTF">2021-09-09T16:11:00Z</dcterms:created>
  <dcterms:modified xsi:type="dcterms:W3CDTF">2021-09-09T16:11:00Z</dcterms:modified>
</cp:coreProperties>
</file>